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4589" w14:textId="77777777" w:rsidR="00A80E48" w:rsidRDefault="00A80E48" w:rsidP="00A80E48">
      <w:bookmarkStart w:id="0" w:name="_GoBack"/>
      <w:bookmarkEnd w:id="0"/>
    </w:p>
    <w:p w14:paraId="35A7E5DD" w14:textId="7D21115B" w:rsidR="00236C47" w:rsidRDefault="007B3353" w:rsidP="00236C4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78A3D55A" wp14:editId="39170845">
            <wp:extent cx="4143991" cy="647700"/>
            <wp:effectExtent l="0" t="0" r="9525" b="0"/>
            <wp:docPr id="1" name="Image 0" descr="entête f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 fin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6607" cy="64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EF" w14:textId="77777777" w:rsidR="00236C47" w:rsidRDefault="00236C47" w:rsidP="00EA6B23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CD7898A" w14:textId="77777777" w:rsidR="00236C47" w:rsidRDefault="00236C47" w:rsidP="00A30A6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3C44D1F" w14:textId="77777777" w:rsidR="00B851C5" w:rsidRDefault="00236C47" w:rsidP="00236C4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TERMES DE REFERENCES </w:t>
      </w:r>
    </w:p>
    <w:p w14:paraId="0CCF7DE0" w14:textId="77777777" w:rsidR="00236C47" w:rsidRPr="00A37B7D" w:rsidRDefault="00236C47" w:rsidP="00B851C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POUR UNE MISSION </w:t>
      </w:r>
      <w:r w:rsidR="00B851C5">
        <w:rPr>
          <w:rFonts w:asciiTheme="majorBidi" w:hAnsiTheme="majorBidi" w:cstheme="majorBidi"/>
          <w:b/>
          <w:bCs/>
          <w:sz w:val="24"/>
          <w:szCs w:val="24"/>
          <w:u w:val="single"/>
        </w:rPr>
        <w:t>D’EXPERTISE</w:t>
      </w: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NATIONAL</w:t>
      </w:r>
      <w:r w:rsidR="00C65236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</w:p>
    <w:p w14:paraId="0F1CA52A" w14:textId="77777777" w:rsidR="00A30A69" w:rsidRDefault="00A30A69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8F8E4DE" w14:textId="77777777" w:rsidR="00EA6B23" w:rsidRPr="00A37B7D" w:rsidRDefault="00EA6B23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F7103B8" w14:textId="77777777" w:rsidR="00A80E48" w:rsidRPr="00A37B7D" w:rsidRDefault="00236C47" w:rsidP="002D78D1">
      <w:pPr>
        <w:rPr>
          <w:rFonts w:asciiTheme="majorBidi" w:hAnsiTheme="majorBidi" w:cstheme="majorBidi"/>
          <w:sz w:val="24"/>
          <w:szCs w:val="24"/>
        </w:rPr>
      </w:pPr>
      <w:r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>1-</w:t>
      </w:r>
      <w:r w:rsidR="004049DD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 :</w:t>
      </w:r>
    </w:p>
    <w:p w14:paraId="2507C53F" w14:textId="6780580C" w:rsidR="00683A98" w:rsidRPr="006475FC" w:rsidRDefault="00683A98" w:rsidP="00683A98">
      <w:pPr>
        <w:ind w:right="-148"/>
        <w:rPr>
          <w:rFonts w:asciiTheme="majorBidi" w:hAnsiTheme="majorBidi" w:cstheme="majorBidi"/>
          <w:sz w:val="24"/>
          <w:szCs w:val="24"/>
        </w:rPr>
      </w:pPr>
      <w:r w:rsidRPr="006475FC">
        <w:rPr>
          <w:rFonts w:asciiTheme="majorBidi" w:hAnsiTheme="majorBidi" w:cstheme="majorBidi"/>
          <w:sz w:val="24"/>
          <w:szCs w:val="24"/>
          <w:lang w:eastAsia="fr-FR"/>
        </w:rPr>
        <w:t xml:space="preserve">Les guides de bonnes pratiques organisationnelles constituent des outils </w:t>
      </w:r>
      <w:r w:rsidRPr="006475FC">
        <w:rPr>
          <w:rFonts w:asciiTheme="majorBidi" w:hAnsiTheme="majorBidi" w:cstheme="majorBidi"/>
          <w:sz w:val="24"/>
          <w:szCs w:val="24"/>
        </w:rPr>
        <w:t>d’aide à la décision, sécurisants pour une prise en charge rapide et efficace de la personne soignée, permettant l’harmonisation des pratiques, l’organisation et l’efficience des soins.</w:t>
      </w:r>
    </w:p>
    <w:p w14:paraId="17CA0795" w14:textId="130DD798" w:rsidR="00683A98" w:rsidRPr="006475FC" w:rsidRDefault="00683A98" w:rsidP="00683A98">
      <w:pPr>
        <w:ind w:right="-148"/>
        <w:rPr>
          <w:rFonts w:asciiTheme="majorBidi" w:hAnsiTheme="majorBidi" w:cstheme="majorBidi"/>
          <w:sz w:val="24"/>
          <w:szCs w:val="24"/>
          <w:lang w:eastAsia="fr-FR"/>
        </w:rPr>
      </w:pPr>
      <w:r w:rsidRPr="006475FC">
        <w:rPr>
          <w:rFonts w:asciiTheme="majorBidi" w:hAnsiTheme="majorBidi" w:cstheme="majorBidi"/>
          <w:bCs/>
          <w:sz w:val="24"/>
          <w:szCs w:val="24"/>
        </w:rPr>
        <w:t>L’élaboration et l</w:t>
      </w:r>
      <w:r w:rsidR="008555A0" w:rsidRPr="006475FC">
        <w:rPr>
          <w:rFonts w:asciiTheme="majorBidi" w:hAnsiTheme="majorBidi" w:cstheme="majorBidi"/>
          <w:bCs/>
          <w:sz w:val="24"/>
          <w:szCs w:val="24"/>
        </w:rPr>
        <w:t>’implémentation</w:t>
      </w:r>
      <w:r w:rsidRPr="006475FC">
        <w:rPr>
          <w:rFonts w:asciiTheme="majorBidi" w:hAnsiTheme="majorBidi" w:cstheme="majorBidi"/>
          <w:bCs/>
          <w:sz w:val="24"/>
          <w:szCs w:val="24"/>
        </w:rPr>
        <w:t xml:space="preserve"> de ces guides nécessitent une démarche méthodologique rigoureuse et explicite pour aboutir à des recommandations valides et </w:t>
      </w:r>
      <w:proofErr w:type="gramStart"/>
      <w:r w:rsidRPr="006475FC">
        <w:rPr>
          <w:rFonts w:asciiTheme="majorBidi" w:hAnsiTheme="majorBidi" w:cstheme="majorBidi"/>
          <w:bCs/>
          <w:sz w:val="24"/>
          <w:szCs w:val="24"/>
        </w:rPr>
        <w:t>crédibles</w:t>
      </w:r>
      <w:proofErr w:type="gramEnd"/>
      <w:r w:rsidRPr="006475FC">
        <w:rPr>
          <w:rFonts w:asciiTheme="majorBidi" w:hAnsiTheme="majorBidi" w:cstheme="majorBidi"/>
          <w:bCs/>
          <w:sz w:val="24"/>
          <w:szCs w:val="24"/>
        </w:rPr>
        <w:t>.</w:t>
      </w:r>
    </w:p>
    <w:p w14:paraId="206AAEAE" w14:textId="77777777" w:rsidR="00C21766" w:rsidRPr="00A37B7D" w:rsidRDefault="00C21766" w:rsidP="00C21766">
      <w:pPr>
        <w:pStyle w:val="NormalWeb"/>
        <w:spacing w:before="0" w:beforeAutospacing="0" w:after="0" w:afterAutospacing="0" w:line="282" w:lineRule="atLeast"/>
        <w:jc w:val="both"/>
        <w:textAlignment w:val="baseline"/>
        <w:rPr>
          <w:rFonts w:asciiTheme="majorBidi" w:hAnsiTheme="majorBidi" w:cstheme="majorBidi"/>
          <w:lang w:eastAsia="de-DE"/>
        </w:rPr>
      </w:pPr>
    </w:p>
    <w:p w14:paraId="37BC109E" w14:textId="77777777" w:rsidR="003C7DCB" w:rsidRPr="00C21766" w:rsidRDefault="003C7DCB" w:rsidP="00C2176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Toc424240946"/>
      <w:bookmarkStart w:id="2" w:name="_Toc454520894"/>
      <w:r w:rsidRPr="00C21766">
        <w:rPr>
          <w:rFonts w:asciiTheme="majorBidi" w:hAnsiTheme="majorBidi" w:cstheme="majorBidi"/>
          <w:b/>
          <w:bCs/>
          <w:sz w:val="24"/>
          <w:szCs w:val="24"/>
          <w:u w:val="single"/>
        </w:rPr>
        <w:t>2- CONTEXTE DE LA MISSION</w:t>
      </w:r>
      <w:bookmarkEnd w:id="1"/>
      <w:r w:rsidRPr="00C2176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2"/>
    </w:p>
    <w:p w14:paraId="6B27F0D2" w14:textId="38AECF7D" w:rsidR="00B13EEF" w:rsidRPr="006475FC" w:rsidRDefault="00EB50B5" w:rsidP="00564EFD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4"/>
          <w:szCs w:val="24"/>
        </w:rPr>
      </w:pPr>
      <w:r w:rsidRPr="006475FC">
        <w:rPr>
          <w:rFonts w:asciiTheme="majorBidi" w:hAnsiTheme="majorBidi" w:cstheme="majorBidi"/>
          <w:bCs/>
          <w:sz w:val="24"/>
          <w:szCs w:val="24"/>
        </w:rPr>
        <w:t>Le manuel d’accréditation des établissements de santé développé par</w:t>
      </w:r>
      <w:r w:rsidR="00F3494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475FC">
        <w:rPr>
          <w:rFonts w:asciiTheme="majorBidi" w:hAnsiTheme="majorBidi" w:cstheme="majorBidi"/>
          <w:bCs/>
          <w:sz w:val="24"/>
          <w:szCs w:val="24"/>
        </w:rPr>
        <w:t>l’I</w:t>
      </w:r>
      <w:r w:rsidR="006475FC">
        <w:rPr>
          <w:rFonts w:asciiTheme="majorBidi" w:hAnsiTheme="majorBidi" w:cstheme="majorBidi"/>
          <w:bCs/>
          <w:sz w:val="24"/>
          <w:szCs w:val="24"/>
        </w:rPr>
        <w:t xml:space="preserve">nstance </w:t>
      </w:r>
      <w:r w:rsidRPr="006475FC">
        <w:rPr>
          <w:rFonts w:asciiTheme="majorBidi" w:hAnsiTheme="majorBidi" w:cstheme="majorBidi"/>
          <w:bCs/>
          <w:sz w:val="24"/>
          <w:szCs w:val="24"/>
        </w:rPr>
        <w:t>N</w:t>
      </w:r>
      <w:r w:rsidR="006475FC">
        <w:rPr>
          <w:rFonts w:asciiTheme="majorBidi" w:hAnsiTheme="majorBidi" w:cstheme="majorBidi"/>
          <w:bCs/>
          <w:sz w:val="24"/>
          <w:szCs w:val="24"/>
        </w:rPr>
        <w:t>ationale de l’Evaluation et de l’</w:t>
      </w:r>
      <w:r w:rsidRPr="006475FC">
        <w:rPr>
          <w:rFonts w:asciiTheme="majorBidi" w:hAnsiTheme="majorBidi" w:cstheme="majorBidi"/>
          <w:bCs/>
          <w:sz w:val="24"/>
          <w:szCs w:val="24"/>
        </w:rPr>
        <w:t>A</w:t>
      </w:r>
      <w:r w:rsidR="006475FC">
        <w:rPr>
          <w:rFonts w:asciiTheme="majorBidi" w:hAnsiTheme="majorBidi" w:cstheme="majorBidi"/>
          <w:bCs/>
          <w:sz w:val="24"/>
          <w:szCs w:val="24"/>
        </w:rPr>
        <w:t xml:space="preserve">ccréditation en </w:t>
      </w:r>
      <w:r w:rsidRPr="006475FC">
        <w:rPr>
          <w:rFonts w:asciiTheme="majorBidi" w:hAnsiTheme="majorBidi" w:cstheme="majorBidi"/>
          <w:bCs/>
          <w:sz w:val="24"/>
          <w:szCs w:val="24"/>
        </w:rPr>
        <w:t>S</w:t>
      </w:r>
      <w:r w:rsidR="006475FC">
        <w:rPr>
          <w:rFonts w:asciiTheme="majorBidi" w:hAnsiTheme="majorBidi" w:cstheme="majorBidi"/>
          <w:bCs/>
          <w:sz w:val="24"/>
          <w:szCs w:val="24"/>
        </w:rPr>
        <w:t>anté (INEAS)</w:t>
      </w:r>
      <w:r w:rsidRPr="006475FC">
        <w:rPr>
          <w:rFonts w:asciiTheme="majorBidi" w:hAnsiTheme="majorBidi" w:cstheme="majorBidi"/>
          <w:bCs/>
          <w:sz w:val="24"/>
          <w:szCs w:val="24"/>
        </w:rPr>
        <w:t xml:space="preserve"> selon les exigences internationales et intégrant les objectifs internationaux de sécurité recommandés par l’</w:t>
      </w:r>
      <w:r w:rsidR="00B13EEF" w:rsidRPr="006475FC">
        <w:rPr>
          <w:rFonts w:asciiTheme="majorBidi" w:hAnsiTheme="majorBidi" w:cstheme="majorBidi"/>
          <w:bCs/>
          <w:sz w:val="24"/>
          <w:szCs w:val="24"/>
        </w:rPr>
        <w:t>OMS comporte un domaine dédié au bloc opératoire avec 9 références et 40 critères.</w:t>
      </w:r>
    </w:p>
    <w:p w14:paraId="7D41D2CA" w14:textId="5BA97BE8" w:rsidR="00683A98" w:rsidRPr="006475FC" w:rsidRDefault="00683A98" w:rsidP="00683A9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4"/>
          <w:szCs w:val="24"/>
        </w:rPr>
      </w:pPr>
      <w:r w:rsidRPr="006475FC">
        <w:rPr>
          <w:rFonts w:asciiTheme="majorBidi" w:hAnsiTheme="majorBidi" w:cstheme="majorBidi"/>
          <w:bCs/>
          <w:sz w:val="24"/>
          <w:szCs w:val="24"/>
        </w:rPr>
        <w:t xml:space="preserve">Le besoin de développer le guide des bonnes pratiques </w:t>
      </w:r>
      <w:r w:rsidR="00EB50B5" w:rsidRPr="006475FC">
        <w:rPr>
          <w:rFonts w:asciiTheme="majorBidi" w:hAnsiTheme="majorBidi" w:cstheme="majorBidi"/>
          <w:bCs/>
          <w:sz w:val="24"/>
          <w:szCs w:val="24"/>
        </w:rPr>
        <w:t xml:space="preserve">organisationnelles </w:t>
      </w:r>
      <w:r w:rsidRPr="006475FC">
        <w:rPr>
          <w:rFonts w:asciiTheme="majorBidi" w:hAnsiTheme="majorBidi" w:cstheme="majorBidi"/>
          <w:bCs/>
          <w:sz w:val="24"/>
          <w:szCs w:val="24"/>
        </w:rPr>
        <w:t>dans le bloc opératoire est en grande partie issu des conclusions énoncées dans les rapports de visites d’accréditation simulées réalisées par les experts visiteurs</w:t>
      </w:r>
      <w:r w:rsidR="00564EFD" w:rsidRPr="006475F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475FC">
        <w:rPr>
          <w:rFonts w:asciiTheme="majorBidi" w:hAnsiTheme="majorBidi" w:cstheme="majorBidi"/>
          <w:bCs/>
          <w:sz w:val="24"/>
          <w:szCs w:val="24"/>
        </w:rPr>
        <w:t>auprès de 31 établissements de santé publics et privés.</w:t>
      </w:r>
    </w:p>
    <w:p w14:paraId="61408924" w14:textId="77777777" w:rsidR="00683A98" w:rsidRPr="006475FC" w:rsidRDefault="00683A98" w:rsidP="00683A9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Cs/>
          <w:sz w:val="24"/>
          <w:szCs w:val="24"/>
        </w:rPr>
      </w:pPr>
      <w:r w:rsidRPr="006475FC">
        <w:rPr>
          <w:rFonts w:asciiTheme="majorBidi" w:hAnsiTheme="majorBidi" w:cstheme="majorBidi"/>
          <w:bCs/>
          <w:sz w:val="24"/>
          <w:szCs w:val="24"/>
        </w:rPr>
        <w:t xml:space="preserve">Dans ces lieux de haute technicité, les constats rapportés ont soulevé des défaillances relatives à l’organisation, au fonctionnement de ces blocs qui est archaïque et individualiste et à leurs interactions avec les autres composantes : unités de soins cliniques, la biologie, l’unité de soins intensifs, etc. </w:t>
      </w:r>
    </w:p>
    <w:p w14:paraId="4AD58AFC" w14:textId="77777777" w:rsidR="00683A98" w:rsidRPr="00D81485" w:rsidRDefault="00683A98" w:rsidP="00D81485">
      <w:pPr>
        <w:pStyle w:val="ListParagraph"/>
        <w:widowControl w:val="0"/>
        <w:tabs>
          <w:tab w:val="clear" w:pos="2161"/>
        </w:tabs>
        <w:adjustRightInd w:val="0"/>
        <w:spacing w:after="0" w:line="259" w:lineRule="auto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39B8A4AC" w14:textId="7226A4F8" w:rsidR="00683A98" w:rsidRPr="00F3494A" w:rsidRDefault="00C21766" w:rsidP="00F3494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3" w:name="_Toc424240947"/>
      <w:bookmarkStart w:id="4" w:name="_Toc454520895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3- </w:t>
      </w:r>
      <w:r w:rsidR="004204D6" w:rsidRPr="004204D6">
        <w:rPr>
          <w:rFonts w:asciiTheme="majorBidi" w:hAnsiTheme="majorBidi" w:cstheme="majorBidi"/>
          <w:b/>
          <w:bCs/>
          <w:sz w:val="24"/>
          <w:szCs w:val="24"/>
          <w:u w:val="single"/>
        </w:rPr>
        <w:t>OBJECTIF GENERAL DE LA MISSION</w:t>
      </w:r>
      <w:bookmarkEnd w:id="3"/>
      <w:r w:rsidR="004204D6" w:rsidRPr="004204D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4"/>
    </w:p>
    <w:p w14:paraId="0CC5C263" w14:textId="4726842A" w:rsidR="00983DC3" w:rsidRPr="00F3494A" w:rsidRDefault="00683A98" w:rsidP="00F3494A">
      <w:pPr>
        <w:rPr>
          <w:rFonts w:asciiTheme="majorBidi" w:hAnsiTheme="majorBidi" w:cstheme="majorBidi"/>
          <w:bCs/>
          <w:sz w:val="24"/>
          <w:szCs w:val="24"/>
        </w:rPr>
      </w:pPr>
      <w:r w:rsidRPr="00F3494A">
        <w:rPr>
          <w:rFonts w:asciiTheme="majorBidi" w:hAnsiTheme="majorBidi" w:cstheme="majorBidi"/>
          <w:bCs/>
          <w:sz w:val="24"/>
          <w:szCs w:val="24"/>
        </w:rPr>
        <w:t xml:space="preserve">Appuyer l’INEAS dans le développement des guides de bonnes pratiques </w:t>
      </w:r>
      <w:r w:rsidR="006475FC" w:rsidRPr="00F3494A">
        <w:rPr>
          <w:rFonts w:asciiTheme="majorBidi" w:hAnsiTheme="majorBidi" w:cstheme="majorBidi"/>
          <w:bCs/>
          <w:sz w:val="24"/>
          <w:szCs w:val="24"/>
        </w:rPr>
        <w:t xml:space="preserve">organisationnelles </w:t>
      </w:r>
      <w:r w:rsidR="00AD75A5" w:rsidRPr="00AD75A5">
        <w:rPr>
          <w:rFonts w:asciiTheme="majorBidi" w:hAnsiTheme="majorBidi" w:cstheme="majorBidi"/>
          <w:bCs/>
          <w:sz w:val="24"/>
          <w:szCs w:val="24"/>
        </w:rPr>
        <w:t>permettant d’améliorer la sécurité des patients et la qualité des services rendus</w:t>
      </w:r>
    </w:p>
    <w:p w14:paraId="621BAC8A" w14:textId="77777777" w:rsidR="004204D6" w:rsidRPr="00F3494A" w:rsidRDefault="00C21766" w:rsidP="004204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5" w:name="_Toc424240948"/>
      <w:bookmarkStart w:id="6" w:name="_Toc454520896"/>
      <w:r w:rsidRPr="00F3494A">
        <w:rPr>
          <w:rFonts w:asciiTheme="majorBidi" w:hAnsiTheme="majorBidi" w:cstheme="majorBidi"/>
          <w:b/>
          <w:sz w:val="24"/>
          <w:szCs w:val="24"/>
        </w:rPr>
        <w:t>4</w:t>
      </w:r>
      <w:r w:rsidRPr="00F3494A">
        <w:rPr>
          <w:rFonts w:asciiTheme="majorBidi" w:hAnsiTheme="majorBidi" w:cstheme="majorBidi"/>
          <w:b/>
          <w:sz w:val="24"/>
          <w:szCs w:val="24"/>
          <w:u w:val="single"/>
        </w:rPr>
        <w:t>-</w:t>
      </w:r>
      <w:r w:rsidRPr="00F3494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4204D6" w:rsidRPr="00F3494A">
        <w:rPr>
          <w:rFonts w:asciiTheme="majorBidi" w:hAnsiTheme="majorBidi" w:cstheme="majorBidi"/>
          <w:b/>
          <w:bCs/>
          <w:sz w:val="24"/>
          <w:szCs w:val="24"/>
          <w:u w:val="single"/>
        </w:rPr>
        <w:t>OBJECTIFS SPECIFIQUES DE LA MISSION</w:t>
      </w:r>
      <w:bookmarkEnd w:id="5"/>
      <w:r w:rsidR="004204D6" w:rsidRPr="00F3494A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6"/>
    </w:p>
    <w:p w14:paraId="150DCFA6" w14:textId="27E1F5A5" w:rsidR="00F3494A" w:rsidRPr="00F3494A" w:rsidRDefault="00F3494A" w:rsidP="00F3494A">
      <w:pPr>
        <w:numPr>
          <w:ilvl w:val="0"/>
          <w:numId w:val="7"/>
        </w:numPr>
        <w:tabs>
          <w:tab w:val="clear" w:pos="2161"/>
        </w:tabs>
        <w:spacing w:after="0"/>
        <w:jc w:val="left"/>
        <w:rPr>
          <w:rFonts w:asciiTheme="majorBidi" w:hAnsiTheme="majorBidi" w:cstheme="majorBidi"/>
          <w:bCs/>
          <w:sz w:val="24"/>
          <w:szCs w:val="24"/>
        </w:rPr>
      </w:pPr>
      <w:r w:rsidRPr="00F3494A">
        <w:rPr>
          <w:rFonts w:asciiTheme="majorBidi" w:hAnsiTheme="majorBidi" w:cstheme="majorBidi"/>
          <w:bCs/>
          <w:sz w:val="24"/>
          <w:szCs w:val="24"/>
        </w:rPr>
        <w:t>Rédiger un guide méthodologique décrivant la méthode et le processus d’élaboration d’un guide de bonnes pratiques organisationnelles</w:t>
      </w:r>
      <w:r w:rsidR="001673B3">
        <w:rPr>
          <w:rFonts w:asciiTheme="majorBidi" w:hAnsiTheme="majorBidi" w:cstheme="majorBidi"/>
          <w:bCs/>
          <w:sz w:val="24"/>
          <w:szCs w:val="24"/>
        </w:rPr>
        <w:t> ;</w:t>
      </w:r>
    </w:p>
    <w:p w14:paraId="4DE3CE46" w14:textId="0C0A6FB0" w:rsidR="00F3494A" w:rsidRPr="00F3494A" w:rsidRDefault="00F3494A" w:rsidP="00F3494A">
      <w:pPr>
        <w:numPr>
          <w:ilvl w:val="0"/>
          <w:numId w:val="7"/>
        </w:numPr>
        <w:tabs>
          <w:tab w:val="clear" w:pos="2161"/>
        </w:tabs>
        <w:spacing w:after="0"/>
        <w:jc w:val="left"/>
        <w:rPr>
          <w:rFonts w:asciiTheme="majorBidi" w:hAnsiTheme="majorBidi" w:cstheme="majorBidi"/>
          <w:bCs/>
          <w:sz w:val="24"/>
          <w:szCs w:val="24"/>
        </w:rPr>
      </w:pPr>
      <w:r w:rsidRPr="00F3494A">
        <w:rPr>
          <w:rFonts w:asciiTheme="majorBidi" w:hAnsiTheme="majorBidi" w:cstheme="majorBidi"/>
          <w:bCs/>
          <w:sz w:val="24"/>
          <w:szCs w:val="24"/>
        </w:rPr>
        <w:lastRenderedPageBreak/>
        <w:t>Assister l’INEAS dans l</w:t>
      </w:r>
      <w:r w:rsidR="000D7541">
        <w:rPr>
          <w:rFonts w:asciiTheme="majorBidi" w:hAnsiTheme="majorBidi" w:cstheme="majorBidi"/>
          <w:bCs/>
          <w:sz w:val="24"/>
          <w:szCs w:val="24"/>
        </w:rPr>
        <w:t>e développement</w:t>
      </w:r>
      <w:r w:rsidRPr="00F3494A">
        <w:rPr>
          <w:rFonts w:asciiTheme="majorBidi" w:hAnsiTheme="majorBidi" w:cstheme="majorBidi"/>
          <w:bCs/>
          <w:sz w:val="24"/>
          <w:szCs w:val="24"/>
        </w:rPr>
        <w:t xml:space="preserve"> d’un guide de bonnes pratiques organisationnelles appliqué au bloc opératoire</w:t>
      </w:r>
      <w:r w:rsidR="000D7541">
        <w:rPr>
          <w:rFonts w:asciiTheme="majorBidi" w:hAnsiTheme="majorBidi" w:cstheme="majorBidi"/>
          <w:bCs/>
          <w:sz w:val="24"/>
          <w:szCs w:val="24"/>
        </w:rPr>
        <w:t xml:space="preserve"> selon la méthodologie préconisée dans le guide méthodologique </w:t>
      </w:r>
      <w:proofErr w:type="spellStart"/>
      <w:r w:rsidR="000D7541">
        <w:rPr>
          <w:rFonts w:asciiTheme="majorBidi" w:hAnsiTheme="majorBidi" w:cstheme="majorBidi"/>
          <w:bCs/>
          <w:sz w:val="24"/>
          <w:szCs w:val="24"/>
        </w:rPr>
        <w:t>sus-cité</w:t>
      </w:r>
      <w:proofErr w:type="spellEnd"/>
      <w:r w:rsidR="001673B3">
        <w:rPr>
          <w:rFonts w:asciiTheme="majorBidi" w:hAnsiTheme="majorBidi" w:cstheme="majorBidi"/>
          <w:bCs/>
          <w:sz w:val="24"/>
          <w:szCs w:val="24"/>
        </w:rPr>
        <w:t>.</w:t>
      </w:r>
    </w:p>
    <w:p w14:paraId="7D3FD651" w14:textId="77777777" w:rsidR="00F3494A" w:rsidRPr="004204D6" w:rsidRDefault="00F3494A" w:rsidP="00F3494A">
      <w:pPr>
        <w:pStyle w:val="ListParagraph"/>
        <w:spacing w:after="160" w:line="276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55B001D8" w14:textId="77777777" w:rsidR="00C541C4" w:rsidRPr="00C541C4" w:rsidRDefault="00C21766" w:rsidP="00C541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7" w:name="_Toc424240949"/>
      <w:bookmarkStart w:id="8" w:name="_Toc454520897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5- </w:t>
      </w:r>
      <w:r w:rsidR="00C541C4" w:rsidRPr="00C541C4">
        <w:rPr>
          <w:rFonts w:asciiTheme="majorBidi" w:hAnsiTheme="majorBidi" w:cstheme="majorBidi"/>
          <w:b/>
          <w:bCs/>
          <w:sz w:val="24"/>
          <w:szCs w:val="24"/>
          <w:u w:val="single"/>
        </w:rPr>
        <w:t>RESULTATS ATTENDUS DE LA MISSION</w:t>
      </w:r>
      <w:bookmarkEnd w:id="7"/>
      <w:r w:rsidR="00C541C4" w:rsidRPr="00C541C4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8"/>
    </w:p>
    <w:p w14:paraId="6D19D2D9" w14:textId="1F8DD78A" w:rsidR="00AD75A5" w:rsidRPr="00E44E2C" w:rsidRDefault="00AD75A5" w:rsidP="00E44E2C">
      <w:pPr>
        <w:pStyle w:val="ListParagraph"/>
        <w:numPr>
          <w:ilvl w:val="0"/>
          <w:numId w:val="18"/>
        </w:numPr>
        <w:tabs>
          <w:tab w:val="clear" w:pos="2161"/>
        </w:tabs>
        <w:spacing w:after="200" w:line="276" w:lineRule="auto"/>
        <w:jc w:val="left"/>
        <w:rPr>
          <w:rFonts w:asciiTheme="majorBidi" w:eastAsia="Calibri" w:hAnsiTheme="majorBidi" w:cstheme="majorBidi"/>
          <w:sz w:val="24"/>
          <w:szCs w:val="24"/>
          <w:lang w:eastAsia="en-GB"/>
        </w:rPr>
      </w:pPr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 xml:space="preserve">R1 : Rédaction d’un guide méthodologique </w:t>
      </w:r>
      <w:r w:rsidR="004A1F36">
        <w:rPr>
          <w:rFonts w:asciiTheme="majorBidi" w:eastAsia="Calibri" w:hAnsiTheme="majorBidi" w:cstheme="majorBidi"/>
          <w:sz w:val="24"/>
          <w:szCs w:val="24"/>
          <w:lang w:eastAsia="en-GB"/>
        </w:rPr>
        <w:t>d</w:t>
      </w:r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>’élaboration d’un guide de bonnes pratiques organisationnelles</w:t>
      </w:r>
      <w:r w:rsidR="007739C5">
        <w:rPr>
          <w:rFonts w:asciiTheme="majorBidi" w:eastAsia="Calibri" w:hAnsiTheme="majorBidi" w:cstheme="majorBidi"/>
          <w:sz w:val="24"/>
          <w:szCs w:val="24"/>
          <w:lang w:eastAsia="en-GB"/>
        </w:rPr>
        <w:t>.</w:t>
      </w:r>
    </w:p>
    <w:p w14:paraId="12BABCC2" w14:textId="553DA398" w:rsidR="00AD75A5" w:rsidRPr="00E44E2C" w:rsidRDefault="00AD75A5" w:rsidP="00E44E2C">
      <w:pPr>
        <w:pStyle w:val="ListParagraph"/>
        <w:numPr>
          <w:ilvl w:val="0"/>
          <w:numId w:val="18"/>
        </w:numPr>
        <w:tabs>
          <w:tab w:val="clear" w:pos="2161"/>
        </w:tabs>
        <w:spacing w:after="200" w:line="276" w:lineRule="auto"/>
        <w:jc w:val="left"/>
        <w:rPr>
          <w:rFonts w:asciiTheme="majorBidi" w:eastAsia="Calibri" w:hAnsiTheme="majorBidi" w:cstheme="majorBidi"/>
          <w:sz w:val="24"/>
          <w:szCs w:val="24"/>
          <w:lang w:eastAsia="en-GB"/>
        </w:rPr>
      </w:pPr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>R2 : Bibliographie et analyse documentaire des bonnes pratiques organisationnelles au bloc opératoire</w:t>
      </w:r>
    </w:p>
    <w:p w14:paraId="20E81481" w14:textId="7D6B28ED" w:rsidR="00AD75A5" w:rsidRPr="00E44E2C" w:rsidRDefault="00AD75A5" w:rsidP="00E44E2C">
      <w:pPr>
        <w:pStyle w:val="ListParagraph"/>
        <w:numPr>
          <w:ilvl w:val="0"/>
          <w:numId w:val="18"/>
        </w:numPr>
        <w:tabs>
          <w:tab w:val="clear" w:pos="2161"/>
        </w:tabs>
        <w:spacing w:after="200" w:line="276" w:lineRule="auto"/>
        <w:jc w:val="left"/>
        <w:rPr>
          <w:rFonts w:asciiTheme="majorBidi" w:eastAsia="Calibri" w:hAnsiTheme="majorBidi" w:cstheme="majorBidi"/>
          <w:sz w:val="24"/>
          <w:szCs w:val="24"/>
          <w:lang w:eastAsia="en-GB"/>
        </w:rPr>
      </w:pPr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 xml:space="preserve">R3 : Rédaction d’un guide </w:t>
      </w:r>
      <w:r w:rsidR="000D7541"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 xml:space="preserve">de bonnes pratiques </w:t>
      </w:r>
      <w:proofErr w:type="gramStart"/>
      <w:r w:rsidR="000D7541"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 xml:space="preserve">organisationnelles </w:t>
      </w:r>
      <w:r w:rsidR="000D7541">
        <w:rPr>
          <w:rFonts w:asciiTheme="majorBidi" w:eastAsia="Calibri" w:hAnsiTheme="majorBidi" w:cstheme="majorBidi"/>
          <w:sz w:val="24"/>
          <w:szCs w:val="24"/>
          <w:lang w:eastAsia="en-GB"/>
        </w:rPr>
        <w:t xml:space="preserve"> </w:t>
      </w:r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>au</w:t>
      </w:r>
      <w:proofErr w:type="gramEnd"/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 xml:space="preserve"> bloc opératoire</w:t>
      </w:r>
    </w:p>
    <w:p w14:paraId="02674AEB" w14:textId="77777777" w:rsidR="00AD75A5" w:rsidRPr="00E44E2C" w:rsidRDefault="00AD75A5" w:rsidP="00E44E2C">
      <w:pPr>
        <w:pStyle w:val="ListParagraph"/>
        <w:numPr>
          <w:ilvl w:val="0"/>
          <w:numId w:val="18"/>
        </w:numPr>
        <w:tabs>
          <w:tab w:val="clear" w:pos="2161"/>
        </w:tabs>
        <w:spacing w:after="200" w:line="276" w:lineRule="auto"/>
        <w:jc w:val="left"/>
        <w:rPr>
          <w:rFonts w:asciiTheme="majorBidi" w:eastAsia="Calibri" w:hAnsiTheme="majorBidi" w:cstheme="majorBidi"/>
          <w:sz w:val="24"/>
          <w:szCs w:val="24"/>
          <w:lang w:eastAsia="en-GB"/>
        </w:rPr>
      </w:pPr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 xml:space="preserve">R4 : Animation d’un atelier de relecture </w:t>
      </w:r>
      <w:proofErr w:type="spellStart"/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>pluri-professionnel</w:t>
      </w:r>
      <w:proofErr w:type="spellEnd"/>
    </w:p>
    <w:p w14:paraId="2F5EACCD" w14:textId="622ECECB" w:rsidR="00840BE9" w:rsidRDefault="00AD75A5" w:rsidP="00F040CC">
      <w:pPr>
        <w:pStyle w:val="ListParagraph"/>
        <w:numPr>
          <w:ilvl w:val="0"/>
          <w:numId w:val="18"/>
        </w:numPr>
        <w:tabs>
          <w:tab w:val="clear" w:pos="2161"/>
        </w:tabs>
        <w:spacing w:after="200" w:line="276" w:lineRule="auto"/>
        <w:jc w:val="left"/>
        <w:rPr>
          <w:rFonts w:asciiTheme="majorBidi" w:eastAsia="Calibri" w:hAnsiTheme="majorBidi" w:cstheme="majorBidi"/>
          <w:sz w:val="24"/>
          <w:szCs w:val="24"/>
          <w:lang w:eastAsia="en-GB"/>
        </w:rPr>
      </w:pPr>
      <w:r w:rsidRPr="00E44E2C">
        <w:rPr>
          <w:rFonts w:asciiTheme="majorBidi" w:eastAsia="Calibri" w:hAnsiTheme="majorBidi" w:cstheme="majorBidi"/>
          <w:sz w:val="24"/>
          <w:szCs w:val="24"/>
          <w:lang w:eastAsia="en-GB"/>
        </w:rPr>
        <w:t>R5 : Finalisation du guide.</w:t>
      </w:r>
    </w:p>
    <w:p w14:paraId="38C036DC" w14:textId="77777777" w:rsidR="00587C93" w:rsidRPr="00F040CC" w:rsidRDefault="00587C93" w:rsidP="00587C93">
      <w:pPr>
        <w:pStyle w:val="ListParagraph"/>
        <w:tabs>
          <w:tab w:val="clear" w:pos="2161"/>
        </w:tabs>
        <w:spacing w:after="200" w:line="276" w:lineRule="auto"/>
        <w:ind w:left="360"/>
        <w:jc w:val="left"/>
        <w:rPr>
          <w:rFonts w:asciiTheme="majorBidi" w:eastAsia="Calibri" w:hAnsiTheme="majorBidi" w:cstheme="majorBidi"/>
          <w:sz w:val="24"/>
          <w:szCs w:val="24"/>
          <w:lang w:eastAsia="en-GB"/>
        </w:rPr>
      </w:pPr>
    </w:p>
    <w:p w14:paraId="5E17F236" w14:textId="77777777" w:rsidR="00840BE9" w:rsidRDefault="00C541C4" w:rsidP="00840BE9">
      <w:pPr>
        <w:spacing w:line="276" w:lineRule="auto"/>
        <w:ind w:left="66"/>
        <w:rPr>
          <w:rFonts w:asciiTheme="majorBidi" w:hAnsiTheme="majorBidi" w:cstheme="majorBidi"/>
          <w:sz w:val="24"/>
          <w:szCs w:val="24"/>
          <w:lang w:val="fr-BE"/>
        </w:rPr>
      </w:pPr>
      <w:r w:rsidRPr="006C4E4B">
        <w:rPr>
          <w:rFonts w:asciiTheme="majorBidi" w:hAnsiTheme="majorBidi" w:cstheme="majorBidi"/>
          <w:sz w:val="24"/>
          <w:szCs w:val="24"/>
          <w:lang w:val="fr-BE"/>
        </w:rPr>
        <w:t xml:space="preserve">Les </w:t>
      </w:r>
      <w:r w:rsidRPr="006C4E4B">
        <w:rPr>
          <w:rFonts w:asciiTheme="majorBidi" w:hAnsiTheme="majorBidi" w:cstheme="majorBidi"/>
          <w:b/>
          <w:sz w:val="24"/>
          <w:szCs w:val="24"/>
          <w:u w:val="single"/>
          <w:lang w:val="fr-BE"/>
        </w:rPr>
        <w:t>livrables de la mission</w:t>
      </w:r>
      <w:r w:rsidRPr="00C541C4">
        <w:rPr>
          <w:rFonts w:asciiTheme="majorBidi" w:hAnsiTheme="majorBidi" w:cstheme="majorBidi"/>
          <w:sz w:val="24"/>
          <w:szCs w:val="24"/>
          <w:lang w:val="fr-BE"/>
        </w:rPr>
        <w:t xml:space="preserve"> sont les suivants :</w:t>
      </w:r>
    </w:p>
    <w:p w14:paraId="0AD44B77" w14:textId="11548092" w:rsidR="00C6502A" w:rsidRPr="004A1F36" w:rsidRDefault="00E44E2C" w:rsidP="004A1F36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BE"/>
        </w:rPr>
        <w:t>N</w:t>
      </w:r>
      <w:proofErr w:type="spellStart"/>
      <w:r w:rsidR="00C541C4" w:rsidRPr="00E44E2C">
        <w:rPr>
          <w:rFonts w:asciiTheme="majorBidi" w:hAnsiTheme="majorBidi" w:cstheme="majorBidi"/>
          <w:sz w:val="24"/>
          <w:szCs w:val="24"/>
        </w:rPr>
        <w:t>ot</w:t>
      </w:r>
      <w:r>
        <w:rPr>
          <w:rFonts w:asciiTheme="majorBidi" w:hAnsiTheme="majorBidi" w:cstheme="majorBidi"/>
          <w:sz w:val="24"/>
          <w:szCs w:val="24"/>
        </w:rPr>
        <w:t>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541C4" w:rsidRPr="00E44E2C">
        <w:rPr>
          <w:rFonts w:asciiTheme="majorBidi" w:hAnsiTheme="majorBidi" w:cstheme="majorBidi"/>
          <w:sz w:val="24"/>
          <w:szCs w:val="24"/>
        </w:rPr>
        <w:t>méthodologique de démarrage de la mission</w:t>
      </w:r>
      <w:r w:rsidR="00C541C4" w:rsidRPr="004A1F36">
        <w:rPr>
          <w:rFonts w:asciiTheme="majorBidi" w:hAnsiTheme="majorBidi" w:cstheme="majorBidi"/>
          <w:sz w:val="24"/>
          <w:szCs w:val="24"/>
        </w:rPr>
        <w:t> ;</w:t>
      </w:r>
    </w:p>
    <w:p w14:paraId="6E12B00C" w14:textId="019E1F1E" w:rsidR="00E44E2C" w:rsidRPr="00E44E2C" w:rsidRDefault="00E44E2C" w:rsidP="00E44E2C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E44E2C">
        <w:rPr>
          <w:rFonts w:asciiTheme="majorBidi" w:hAnsiTheme="majorBidi" w:cstheme="majorBidi"/>
          <w:sz w:val="24"/>
          <w:szCs w:val="24"/>
        </w:rPr>
        <w:t>Guide méthodologique</w:t>
      </w:r>
      <w:r w:rsidR="0001688D">
        <w:rPr>
          <w:rFonts w:asciiTheme="majorBidi" w:hAnsiTheme="majorBidi" w:cstheme="majorBidi"/>
          <w:sz w:val="24"/>
          <w:szCs w:val="24"/>
        </w:rPr>
        <w:t xml:space="preserve"> </w:t>
      </w:r>
      <w:r w:rsidR="004A1F36">
        <w:rPr>
          <w:rFonts w:asciiTheme="majorBidi" w:hAnsiTheme="majorBidi" w:cstheme="majorBidi"/>
          <w:sz w:val="24"/>
          <w:szCs w:val="24"/>
        </w:rPr>
        <w:t>d’</w:t>
      </w:r>
      <w:r w:rsidRPr="00E44E2C">
        <w:rPr>
          <w:rFonts w:asciiTheme="majorBidi" w:hAnsiTheme="majorBidi" w:cstheme="majorBidi"/>
          <w:sz w:val="24"/>
          <w:szCs w:val="24"/>
        </w:rPr>
        <w:t>élaboration d’un guide de bonnes pratiques organisationnelles ;</w:t>
      </w:r>
    </w:p>
    <w:p w14:paraId="5DF8BF55" w14:textId="2AD43124" w:rsidR="00E44E2C" w:rsidRPr="00E44E2C" w:rsidRDefault="00E44E2C" w:rsidP="00E44E2C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E44E2C">
        <w:rPr>
          <w:rFonts w:asciiTheme="majorBidi" w:hAnsiTheme="majorBidi" w:cstheme="majorBidi"/>
          <w:sz w:val="24"/>
          <w:szCs w:val="24"/>
        </w:rPr>
        <w:t xml:space="preserve">Note d’analyse documentaire sur les bonnes pratiques </w:t>
      </w:r>
      <w:r w:rsidR="007739C5">
        <w:rPr>
          <w:rFonts w:asciiTheme="majorBidi" w:hAnsiTheme="majorBidi" w:cstheme="majorBidi"/>
          <w:sz w:val="24"/>
          <w:szCs w:val="24"/>
        </w:rPr>
        <w:t xml:space="preserve">organisationnelles </w:t>
      </w:r>
      <w:r w:rsidRPr="00E44E2C">
        <w:rPr>
          <w:rFonts w:asciiTheme="majorBidi" w:hAnsiTheme="majorBidi" w:cstheme="majorBidi"/>
          <w:sz w:val="24"/>
          <w:szCs w:val="24"/>
        </w:rPr>
        <w:t xml:space="preserve">au bloc opératoire ; </w:t>
      </w:r>
    </w:p>
    <w:p w14:paraId="2AD10D33" w14:textId="37967D86" w:rsidR="00E44E2C" w:rsidRPr="00E44E2C" w:rsidRDefault="00E44E2C" w:rsidP="00E44E2C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E44E2C">
        <w:rPr>
          <w:rFonts w:asciiTheme="majorBidi" w:hAnsiTheme="majorBidi" w:cstheme="majorBidi"/>
          <w:sz w:val="24"/>
          <w:szCs w:val="24"/>
        </w:rPr>
        <w:t xml:space="preserve">Projet de guide sur les bonnes pratiques </w:t>
      </w:r>
      <w:r w:rsidR="007739C5">
        <w:rPr>
          <w:rFonts w:asciiTheme="majorBidi" w:hAnsiTheme="majorBidi" w:cstheme="majorBidi"/>
          <w:sz w:val="24"/>
          <w:szCs w:val="24"/>
        </w:rPr>
        <w:t xml:space="preserve">organisationnelles </w:t>
      </w:r>
      <w:r w:rsidRPr="00E44E2C">
        <w:rPr>
          <w:rFonts w:asciiTheme="majorBidi" w:hAnsiTheme="majorBidi" w:cstheme="majorBidi"/>
          <w:sz w:val="24"/>
          <w:szCs w:val="24"/>
        </w:rPr>
        <w:t>au bloc opératoire</w:t>
      </w:r>
      <w:r w:rsidR="00137228">
        <w:rPr>
          <w:rFonts w:asciiTheme="majorBidi" w:hAnsiTheme="majorBidi" w:cstheme="majorBidi"/>
          <w:sz w:val="24"/>
          <w:szCs w:val="24"/>
        </w:rPr>
        <w:t xml:space="preserve"> </w:t>
      </w:r>
      <w:r w:rsidRPr="00E44E2C">
        <w:rPr>
          <w:rFonts w:asciiTheme="majorBidi" w:hAnsiTheme="majorBidi" w:cstheme="majorBidi"/>
          <w:sz w:val="24"/>
          <w:szCs w:val="24"/>
        </w:rPr>
        <w:t>;</w:t>
      </w:r>
    </w:p>
    <w:p w14:paraId="30F437E4" w14:textId="690FD8BE" w:rsidR="00E44E2C" w:rsidRPr="00E44E2C" w:rsidRDefault="00E44E2C" w:rsidP="00E44E2C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E44E2C">
        <w:rPr>
          <w:rFonts w:asciiTheme="majorBidi" w:hAnsiTheme="majorBidi" w:cstheme="majorBidi"/>
          <w:sz w:val="24"/>
          <w:szCs w:val="24"/>
        </w:rPr>
        <w:t>Support d’animation de l’atelier ;</w:t>
      </w:r>
    </w:p>
    <w:p w14:paraId="241101EB" w14:textId="759E16ED" w:rsidR="00E44E2C" w:rsidRPr="00E44E2C" w:rsidRDefault="00E44E2C" w:rsidP="00E44E2C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E44E2C">
        <w:rPr>
          <w:rFonts w:asciiTheme="majorBidi" w:hAnsiTheme="majorBidi" w:cstheme="majorBidi"/>
          <w:sz w:val="24"/>
          <w:szCs w:val="24"/>
        </w:rPr>
        <w:t>Restitution de l’atelier ;</w:t>
      </w:r>
    </w:p>
    <w:p w14:paraId="3B8350EA" w14:textId="26045472" w:rsidR="00E44E2C" w:rsidRPr="00E44E2C" w:rsidRDefault="00E44E2C" w:rsidP="00E44E2C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E44E2C">
        <w:rPr>
          <w:rFonts w:asciiTheme="majorBidi" w:hAnsiTheme="majorBidi" w:cstheme="majorBidi"/>
          <w:sz w:val="24"/>
          <w:szCs w:val="24"/>
        </w:rPr>
        <w:t>Guide finalisé ;</w:t>
      </w:r>
    </w:p>
    <w:p w14:paraId="37C3F1DB" w14:textId="099EC386" w:rsidR="00E44E2C" w:rsidRPr="00E44E2C" w:rsidRDefault="00E44E2C" w:rsidP="00E44E2C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E44E2C">
        <w:rPr>
          <w:rFonts w:asciiTheme="majorBidi" w:hAnsiTheme="majorBidi" w:cstheme="majorBidi"/>
          <w:sz w:val="24"/>
          <w:szCs w:val="24"/>
        </w:rPr>
        <w:t>Rapport de mission.</w:t>
      </w:r>
    </w:p>
    <w:p w14:paraId="7803688A" w14:textId="77777777" w:rsidR="00E44E2C" w:rsidRPr="00E44E2C" w:rsidRDefault="00E44E2C" w:rsidP="00E44E2C">
      <w:pPr>
        <w:pStyle w:val="ListParagraph"/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</w:p>
    <w:p w14:paraId="0D5FCF5A" w14:textId="77777777" w:rsidR="00330925" w:rsidRPr="00330925" w:rsidRDefault="00D81485" w:rsidP="0033092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9" w:name="_Toc536442294"/>
      <w:bookmarkStart w:id="10" w:name="_Toc88539531"/>
      <w:bookmarkStart w:id="11" w:name="_Toc249760377"/>
      <w:bookmarkStart w:id="12" w:name="_Toc282434614"/>
      <w:bookmarkStart w:id="13" w:name="_Toc454520898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6- </w:t>
      </w:r>
      <w:r w:rsidR="00330925" w:rsidRPr="00330925">
        <w:rPr>
          <w:rFonts w:asciiTheme="majorBidi" w:hAnsiTheme="majorBidi" w:cstheme="majorBidi"/>
          <w:b/>
          <w:bCs/>
          <w:sz w:val="24"/>
          <w:szCs w:val="24"/>
          <w:u w:val="single"/>
        </w:rPr>
        <w:t>ACTIVITES A REALIS</w:t>
      </w:r>
      <w:bookmarkEnd w:id="9"/>
      <w:r w:rsidR="00330925" w:rsidRPr="00330925">
        <w:rPr>
          <w:rFonts w:asciiTheme="majorBidi" w:hAnsiTheme="majorBidi" w:cstheme="majorBidi"/>
          <w:b/>
          <w:bCs/>
          <w:sz w:val="24"/>
          <w:szCs w:val="24"/>
          <w:u w:val="single"/>
        </w:rPr>
        <w:t>ER</w:t>
      </w:r>
      <w:bookmarkEnd w:id="10"/>
      <w:bookmarkEnd w:id="11"/>
      <w:bookmarkEnd w:id="12"/>
      <w:r w:rsidR="00330925" w:rsidRPr="00330925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13"/>
    </w:p>
    <w:p w14:paraId="52F02754" w14:textId="7484797C" w:rsidR="00C25A5D" w:rsidRPr="00C25A5D" w:rsidRDefault="00C25A5D" w:rsidP="00C25A5D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A1 : </w:t>
      </w:r>
      <w:r w:rsidRPr="00C25A5D">
        <w:rPr>
          <w:rFonts w:asciiTheme="majorBidi" w:hAnsiTheme="majorBidi" w:cstheme="majorBidi"/>
          <w:sz w:val="24"/>
          <w:szCs w:val="24"/>
        </w:rPr>
        <w:t xml:space="preserve">Élaboration d’une note méthodologique de démarrage de la mission décrivant le champ d’intervention </w:t>
      </w:r>
      <w:r w:rsidR="00B349F4">
        <w:rPr>
          <w:rFonts w:asciiTheme="majorBidi" w:hAnsiTheme="majorBidi" w:cstheme="majorBidi"/>
          <w:sz w:val="24"/>
          <w:szCs w:val="24"/>
        </w:rPr>
        <w:t>de l’expert</w:t>
      </w:r>
    </w:p>
    <w:p w14:paraId="6221B4AE" w14:textId="3289E905" w:rsidR="00C25A5D" w:rsidRPr="00C25A5D" w:rsidRDefault="00C25A5D" w:rsidP="00C25A5D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C25A5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2</w:t>
      </w:r>
      <w:r w:rsidRPr="00C25A5D">
        <w:rPr>
          <w:rFonts w:asciiTheme="majorBidi" w:hAnsiTheme="majorBidi" w:cstheme="majorBidi"/>
          <w:sz w:val="24"/>
          <w:szCs w:val="24"/>
        </w:rPr>
        <w:t xml:space="preserve"> : Rédaction d’un guide méthodologique </w:t>
      </w:r>
      <w:r w:rsidR="008F438C">
        <w:rPr>
          <w:rFonts w:asciiTheme="majorBidi" w:hAnsiTheme="majorBidi" w:cstheme="majorBidi"/>
          <w:sz w:val="24"/>
          <w:szCs w:val="24"/>
        </w:rPr>
        <w:t>d</w:t>
      </w:r>
      <w:r w:rsidRPr="00C25A5D">
        <w:rPr>
          <w:rFonts w:asciiTheme="majorBidi" w:hAnsiTheme="majorBidi" w:cstheme="majorBidi"/>
          <w:sz w:val="24"/>
          <w:szCs w:val="24"/>
        </w:rPr>
        <w:t>’élaboration d’un guide de bonnes pratiques organisationnelles</w:t>
      </w:r>
    </w:p>
    <w:p w14:paraId="421D5805" w14:textId="7FD0A169" w:rsidR="00C25A5D" w:rsidRPr="00C25A5D" w:rsidRDefault="00C25A5D" w:rsidP="00C25A5D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C25A5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3</w:t>
      </w:r>
      <w:r w:rsidRPr="00C25A5D">
        <w:rPr>
          <w:rFonts w:asciiTheme="majorBidi" w:hAnsiTheme="majorBidi" w:cstheme="majorBidi"/>
          <w:sz w:val="24"/>
          <w:szCs w:val="24"/>
        </w:rPr>
        <w:t> : Analyse documentaire, recherche bibliographique et réglementaire sur les bonnes pratiques organisationnelles au bloc opératoire</w:t>
      </w:r>
    </w:p>
    <w:p w14:paraId="7AC6855D" w14:textId="080E6A98" w:rsidR="00C25A5D" w:rsidRPr="00C25A5D" w:rsidRDefault="00C25A5D" w:rsidP="00C25A5D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C25A5D">
        <w:rPr>
          <w:rFonts w:asciiTheme="majorBidi" w:hAnsiTheme="majorBidi" w:cstheme="majorBidi"/>
          <w:sz w:val="24"/>
          <w:szCs w:val="24"/>
        </w:rPr>
        <w:t>A</w:t>
      </w:r>
      <w:r w:rsidR="00CA6E55">
        <w:rPr>
          <w:rFonts w:asciiTheme="majorBidi" w:hAnsiTheme="majorBidi" w:cstheme="majorBidi"/>
          <w:sz w:val="24"/>
          <w:szCs w:val="24"/>
        </w:rPr>
        <w:t>4</w:t>
      </w:r>
      <w:r w:rsidRPr="00C25A5D">
        <w:rPr>
          <w:rFonts w:asciiTheme="majorBidi" w:hAnsiTheme="majorBidi" w:cstheme="majorBidi"/>
          <w:sz w:val="24"/>
          <w:szCs w:val="24"/>
        </w:rPr>
        <w:t> :</w:t>
      </w:r>
      <w:r w:rsidR="00D50CBC">
        <w:rPr>
          <w:rFonts w:asciiTheme="majorBidi" w:hAnsiTheme="majorBidi" w:cstheme="majorBidi"/>
          <w:sz w:val="24"/>
          <w:szCs w:val="24"/>
        </w:rPr>
        <w:t xml:space="preserve"> </w:t>
      </w:r>
      <w:r w:rsidRPr="00C25A5D">
        <w:rPr>
          <w:rFonts w:asciiTheme="majorBidi" w:hAnsiTheme="majorBidi" w:cstheme="majorBidi"/>
          <w:sz w:val="24"/>
          <w:szCs w:val="24"/>
        </w:rPr>
        <w:t>Rédaction de la version initiale du guide de bonnes pratiques organisationnelles au bloc opératoire</w:t>
      </w:r>
      <w:r w:rsidR="00137228">
        <w:rPr>
          <w:rFonts w:asciiTheme="majorBidi" w:hAnsiTheme="majorBidi" w:cstheme="majorBidi"/>
          <w:sz w:val="24"/>
          <w:szCs w:val="24"/>
        </w:rPr>
        <w:t xml:space="preserve"> conformément à la méthodologie préconisée dans le guide (A2)</w:t>
      </w:r>
    </w:p>
    <w:p w14:paraId="2CF740EA" w14:textId="093B54DF" w:rsidR="00C25A5D" w:rsidRPr="00C25A5D" w:rsidRDefault="00C25A5D" w:rsidP="00C25A5D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C25A5D">
        <w:rPr>
          <w:rFonts w:asciiTheme="majorBidi" w:hAnsiTheme="majorBidi" w:cstheme="majorBidi"/>
          <w:sz w:val="24"/>
          <w:szCs w:val="24"/>
        </w:rPr>
        <w:t>A</w:t>
      </w:r>
      <w:r w:rsidR="00CA6E55">
        <w:rPr>
          <w:rFonts w:asciiTheme="majorBidi" w:hAnsiTheme="majorBidi" w:cstheme="majorBidi"/>
          <w:sz w:val="24"/>
          <w:szCs w:val="24"/>
        </w:rPr>
        <w:t>5</w:t>
      </w:r>
      <w:r w:rsidRPr="00C25A5D">
        <w:rPr>
          <w:rFonts w:asciiTheme="majorBidi" w:hAnsiTheme="majorBidi" w:cstheme="majorBidi"/>
          <w:sz w:val="24"/>
          <w:szCs w:val="24"/>
        </w:rPr>
        <w:t> : Animation d’un séminaire de relecture du guide</w:t>
      </w:r>
    </w:p>
    <w:p w14:paraId="24821BDD" w14:textId="09BA006F" w:rsidR="00C25A5D" w:rsidRPr="00C25A5D" w:rsidRDefault="00C25A5D" w:rsidP="00C25A5D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C25A5D">
        <w:rPr>
          <w:rFonts w:asciiTheme="majorBidi" w:hAnsiTheme="majorBidi" w:cstheme="majorBidi"/>
          <w:sz w:val="24"/>
          <w:szCs w:val="24"/>
        </w:rPr>
        <w:t>A</w:t>
      </w:r>
      <w:r w:rsidR="00CA6E55">
        <w:rPr>
          <w:rFonts w:asciiTheme="majorBidi" w:hAnsiTheme="majorBidi" w:cstheme="majorBidi"/>
          <w:sz w:val="24"/>
          <w:szCs w:val="24"/>
        </w:rPr>
        <w:t>6</w:t>
      </w:r>
      <w:r w:rsidRPr="00C25A5D">
        <w:rPr>
          <w:rFonts w:asciiTheme="majorBidi" w:hAnsiTheme="majorBidi" w:cstheme="majorBidi"/>
          <w:sz w:val="24"/>
          <w:szCs w:val="24"/>
        </w:rPr>
        <w:t> : Finalisation du guide</w:t>
      </w:r>
    </w:p>
    <w:p w14:paraId="2E73B25F" w14:textId="44BAA84D" w:rsidR="00C25A5D" w:rsidRPr="00C25A5D" w:rsidRDefault="00C25A5D" w:rsidP="00C25A5D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C25A5D">
        <w:rPr>
          <w:rFonts w:asciiTheme="majorBidi" w:hAnsiTheme="majorBidi" w:cstheme="majorBidi"/>
          <w:sz w:val="24"/>
          <w:szCs w:val="24"/>
        </w:rPr>
        <w:t>A</w:t>
      </w:r>
      <w:r w:rsidR="00CA6E55">
        <w:rPr>
          <w:rFonts w:asciiTheme="majorBidi" w:hAnsiTheme="majorBidi" w:cstheme="majorBidi"/>
          <w:sz w:val="24"/>
          <w:szCs w:val="24"/>
        </w:rPr>
        <w:t>7</w:t>
      </w:r>
      <w:r w:rsidRPr="00C25A5D">
        <w:rPr>
          <w:rFonts w:asciiTheme="majorBidi" w:hAnsiTheme="majorBidi" w:cstheme="majorBidi"/>
          <w:sz w:val="24"/>
          <w:szCs w:val="24"/>
        </w:rPr>
        <w:t> : Rédaction du rapport final</w:t>
      </w:r>
    </w:p>
    <w:p w14:paraId="79A8909C" w14:textId="77777777" w:rsidR="005520BA" w:rsidRPr="009D64F5" w:rsidRDefault="005520BA" w:rsidP="008F438C">
      <w:pPr>
        <w:pStyle w:val="ListParagraph"/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</w:p>
    <w:p w14:paraId="52C0AE7A" w14:textId="77777777" w:rsidR="002819EC" w:rsidRPr="002819EC" w:rsidRDefault="00D81485" w:rsidP="002819E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4" w:name="_Toc536442295"/>
      <w:bookmarkStart w:id="15" w:name="_Toc85276971"/>
      <w:bookmarkStart w:id="16" w:name="_Toc88539532"/>
      <w:bookmarkStart w:id="17" w:name="_Toc249760378"/>
      <w:bookmarkStart w:id="18" w:name="_Toc282434615"/>
      <w:bookmarkStart w:id="19" w:name="_Toc290477323"/>
      <w:bookmarkStart w:id="20" w:name="_Toc435089657"/>
      <w:bookmarkStart w:id="21" w:name="_Toc446863076"/>
      <w:bookmarkStart w:id="22" w:name="_Toc454520899"/>
      <w:bookmarkStart w:id="23" w:name="_Toc532263381"/>
      <w:bookmarkStart w:id="24" w:name="_Ref535205024"/>
      <w:bookmarkStart w:id="25" w:name="_Toc53565290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7- </w:t>
      </w:r>
      <w:r w:rsidR="002819EC" w:rsidRPr="002819EC">
        <w:rPr>
          <w:rFonts w:asciiTheme="majorBidi" w:hAnsiTheme="majorBidi" w:cstheme="majorBidi"/>
          <w:b/>
          <w:bCs/>
          <w:sz w:val="24"/>
          <w:szCs w:val="24"/>
          <w:u w:val="single"/>
        </w:rPr>
        <w:t>ORGANISATION DE LA MISSION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2819EC" w:rsidRPr="002819E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bookmarkEnd w:id="22"/>
    </w:p>
    <w:bookmarkEnd w:id="23"/>
    <w:bookmarkEnd w:id="24"/>
    <w:bookmarkEnd w:id="25"/>
    <w:p w14:paraId="44F25743" w14:textId="4963BBCA" w:rsidR="002957DF" w:rsidRDefault="00C6502A" w:rsidP="00B0617A">
      <w:pPr>
        <w:rPr>
          <w:rFonts w:asciiTheme="majorBidi" w:hAnsiTheme="majorBidi" w:cstheme="majorBidi"/>
          <w:sz w:val="24"/>
          <w:szCs w:val="24"/>
        </w:rPr>
      </w:pPr>
      <w:r w:rsidRPr="00C6502A">
        <w:rPr>
          <w:rFonts w:asciiTheme="majorBidi" w:hAnsiTheme="majorBidi" w:cstheme="majorBidi"/>
          <w:sz w:val="24"/>
          <w:szCs w:val="24"/>
        </w:rPr>
        <w:t xml:space="preserve">Cette mission sera assurée par </w:t>
      </w:r>
      <w:r w:rsidR="00B0617A">
        <w:rPr>
          <w:rFonts w:asciiTheme="majorBidi" w:hAnsiTheme="majorBidi" w:cstheme="majorBidi"/>
          <w:sz w:val="24"/>
          <w:szCs w:val="24"/>
        </w:rPr>
        <w:t>un</w:t>
      </w:r>
      <w:r w:rsidRPr="00C6502A">
        <w:rPr>
          <w:rFonts w:asciiTheme="majorBidi" w:hAnsiTheme="majorBidi" w:cstheme="majorBidi"/>
          <w:sz w:val="24"/>
          <w:szCs w:val="24"/>
        </w:rPr>
        <w:t xml:space="preserve"> </w:t>
      </w:r>
      <w:r w:rsidR="00D806AF">
        <w:rPr>
          <w:rFonts w:asciiTheme="majorBidi" w:hAnsiTheme="majorBidi" w:cstheme="majorBidi"/>
          <w:sz w:val="24"/>
          <w:szCs w:val="24"/>
        </w:rPr>
        <w:t>Expert</w:t>
      </w:r>
      <w:r w:rsidR="002957DF">
        <w:rPr>
          <w:rFonts w:asciiTheme="majorBidi" w:hAnsiTheme="majorBidi" w:cstheme="majorBidi"/>
          <w:sz w:val="24"/>
          <w:szCs w:val="24"/>
        </w:rPr>
        <w:t xml:space="preserve"> </w:t>
      </w:r>
      <w:r w:rsidRPr="00C6502A">
        <w:rPr>
          <w:rFonts w:asciiTheme="majorBidi" w:hAnsiTheme="majorBidi" w:cstheme="majorBidi"/>
          <w:sz w:val="24"/>
          <w:szCs w:val="24"/>
        </w:rPr>
        <w:t>N</w:t>
      </w:r>
      <w:r w:rsidR="002957DF">
        <w:rPr>
          <w:rFonts w:asciiTheme="majorBidi" w:hAnsiTheme="majorBidi" w:cstheme="majorBidi"/>
          <w:sz w:val="24"/>
          <w:szCs w:val="24"/>
        </w:rPr>
        <w:t>ationa</w:t>
      </w:r>
      <w:r w:rsidR="00B0617A">
        <w:rPr>
          <w:rFonts w:asciiTheme="majorBidi" w:hAnsiTheme="majorBidi" w:cstheme="majorBidi"/>
          <w:sz w:val="24"/>
          <w:szCs w:val="24"/>
        </w:rPr>
        <w:t>l</w:t>
      </w:r>
      <w:r w:rsidR="002957DF">
        <w:rPr>
          <w:rFonts w:asciiTheme="majorBidi" w:hAnsiTheme="majorBidi" w:cstheme="majorBidi"/>
          <w:sz w:val="24"/>
          <w:szCs w:val="24"/>
        </w:rPr>
        <w:t>.</w:t>
      </w:r>
    </w:p>
    <w:p w14:paraId="200A701F" w14:textId="043DF17B" w:rsidR="00C6502A" w:rsidRPr="00C6502A" w:rsidRDefault="00C6502A" w:rsidP="00C6502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6502A">
        <w:rPr>
          <w:rFonts w:asciiTheme="majorBidi" w:hAnsiTheme="majorBidi" w:cstheme="majorBidi"/>
          <w:sz w:val="24"/>
          <w:szCs w:val="24"/>
        </w:rPr>
        <w:t xml:space="preserve">De manière à assurer le succès de la mission, celle-ci sera exécutée en participation étroite avec le personnel concerné de </w:t>
      </w:r>
      <w:r w:rsidR="00587C93">
        <w:rPr>
          <w:rFonts w:asciiTheme="majorBidi" w:hAnsiTheme="majorBidi" w:cstheme="majorBidi"/>
          <w:sz w:val="24"/>
          <w:szCs w:val="24"/>
        </w:rPr>
        <w:t>l’INEAS</w:t>
      </w:r>
      <w:r w:rsidRPr="00C6502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522DA8C" w14:textId="5CBADBAE" w:rsidR="00587C93" w:rsidRDefault="00C6502A" w:rsidP="00C6502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 démarrage de la mission, l</w:t>
      </w:r>
      <w:r w:rsidR="00D806AF">
        <w:rPr>
          <w:rFonts w:asciiTheme="majorBidi" w:hAnsiTheme="majorBidi" w:cstheme="majorBidi"/>
          <w:sz w:val="24"/>
          <w:szCs w:val="24"/>
        </w:rPr>
        <w:t>’expert</w:t>
      </w:r>
      <w:r>
        <w:rPr>
          <w:rFonts w:asciiTheme="majorBidi" w:hAnsiTheme="majorBidi" w:cstheme="majorBidi"/>
          <w:sz w:val="24"/>
          <w:szCs w:val="24"/>
        </w:rPr>
        <w:t xml:space="preserve"> national</w:t>
      </w:r>
      <w:r w:rsidRPr="00C6502A">
        <w:rPr>
          <w:rFonts w:asciiTheme="majorBidi" w:hAnsiTheme="majorBidi" w:cstheme="majorBidi"/>
          <w:sz w:val="24"/>
          <w:szCs w:val="24"/>
        </w:rPr>
        <w:t xml:space="preserve"> s’entretiendra avec l</w:t>
      </w:r>
      <w:r w:rsidR="00587C93">
        <w:rPr>
          <w:rFonts w:asciiTheme="majorBidi" w:hAnsiTheme="majorBidi" w:cstheme="majorBidi"/>
          <w:sz w:val="24"/>
          <w:szCs w:val="24"/>
        </w:rPr>
        <w:t>’INEAS</w:t>
      </w:r>
      <w:r w:rsidRPr="00C6502A">
        <w:rPr>
          <w:rFonts w:asciiTheme="majorBidi" w:hAnsiTheme="majorBidi" w:cstheme="majorBidi"/>
          <w:sz w:val="24"/>
          <w:szCs w:val="24"/>
        </w:rPr>
        <w:t xml:space="preserve"> afin d’expliciter l</w:t>
      </w:r>
      <w:r w:rsidR="00FB16CE">
        <w:rPr>
          <w:rFonts w:asciiTheme="majorBidi" w:hAnsiTheme="majorBidi" w:cstheme="majorBidi"/>
          <w:sz w:val="24"/>
          <w:szCs w:val="24"/>
        </w:rPr>
        <w:t>a méthodologie de son intervention</w:t>
      </w:r>
      <w:r w:rsidRPr="00C6502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B7C1360" w14:textId="6305BEB3" w:rsidR="00C6502A" w:rsidRDefault="00C6502A" w:rsidP="00C6502A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C6502A">
        <w:rPr>
          <w:rFonts w:asciiTheme="majorBidi" w:hAnsiTheme="majorBidi" w:cstheme="majorBidi"/>
          <w:sz w:val="24"/>
          <w:szCs w:val="24"/>
        </w:rPr>
        <w:t>A la fin de chaque s</w:t>
      </w:r>
      <w:r w:rsidR="009A2C6B">
        <w:rPr>
          <w:rFonts w:asciiTheme="majorBidi" w:hAnsiTheme="majorBidi" w:cstheme="majorBidi"/>
          <w:sz w:val="24"/>
          <w:szCs w:val="24"/>
        </w:rPr>
        <w:t>équence de la mission</w:t>
      </w:r>
      <w:r w:rsidR="00587C93">
        <w:rPr>
          <w:rFonts w:asciiTheme="majorBidi" w:hAnsiTheme="majorBidi" w:cstheme="majorBidi"/>
          <w:sz w:val="24"/>
          <w:szCs w:val="24"/>
        </w:rPr>
        <w:t xml:space="preserve">, </w:t>
      </w:r>
      <w:r w:rsidR="00D806AF">
        <w:rPr>
          <w:rFonts w:asciiTheme="majorBidi" w:hAnsiTheme="majorBidi" w:cstheme="majorBidi"/>
          <w:sz w:val="24"/>
          <w:szCs w:val="24"/>
        </w:rPr>
        <w:t>l’expert</w:t>
      </w:r>
      <w:r w:rsidR="00D806AF" w:rsidRPr="00C6502A">
        <w:rPr>
          <w:rFonts w:asciiTheme="majorBidi" w:hAnsiTheme="majorBidi" w:cstheme="majorBidi"/>
          <w:sz w:val="24"/>
          <w:szCs w:val="24"/>
        </w:rPr>
        <w:t xml:space="preserve"> </w:t>
      </w:r>
      <w:r w:rsidRPr="00C6502A">
        <w:rPr>
          <w:rFonts w:asciiTheme="majorBidi" w:hAnsiTheme="majorBidi" w:cstheme="majorBidi"/>
          <w:sz w:val="24"/>
          <w:szCs w:val="24"/>
        </w:rPr>
        <w:t xml:space="preserve">procédera à une restitution de </w:t>
      </w:r>
      <w:r w:rsidR="00587C93">
        <w:rPr>
          <w:rFonts w:asciiTheme="majorBidi" w:hAnsiTheme="majorBidi" w:cstheme="majorBidi"/>
          <w:sz w:val="24"/>
          <w:szCs w:val="24"/>
        </w:rPr>
        <w:t>s</w:t>
      </w:r>
      <w:r w:rsidR="009A2C6B">
        <w:rPr>
          <w:rFonts w:asciiTheme="majorBidi" w:hAnsiTheme="majorBidi" w:cstheme="majorBidi"/>
          <w:sz w:val="24"/>
          <w:szCs w:val="24"/>
        </w:rPr>
        <w:t>es activités</w:t>
      </w:r>
      <w:r w:rsidRPr="00C6502A">
        <w:rPr>
          <w:rFonts w:asciiTheme="majorBidi" w:hAnsiTheme="majorBidi" w:cstheme="majorBidi"/>
          <w:sz w:val="24"/>
          <w:szCs w:val="24"/>
        </w:rPr>
        <w:t>.</w:t>
      </w:r>
    </w:p>
    <w:p w14:paraId="0DBCAEBF" w14:textId="77777777" w:rsidR="002957DF" w:rsidRPr="001531E5" w:rsidRDefault="002957DF" w:rsidP="002957DF">
      <w:pPr>
        <w:pStyle w:val="Heading1"/>
        <w:keepLines w:val="0"/>
        <w:tabs>
          <w:tab w:val="num" w:pos="360"/>
        </w:tabs>
        <w:spacing w:before="360" w:after="120"/>
        <w:ind w:left="360" w:hanging="360"/>
        <w:rPr>
          <w:rFonts w:asciiTheme="majorBidi" w:eastAsia="Times New Roman" w:hAnsiTheme="majorBidi"/>
          <w:bCs w:val="0"/>
          <w:color w:val="auto"/>
          <w:sz w:val="24"/>
          <w:szCs w:val="24"/>
          <w:u w:val="single"/>
        </w:rPr>
      </w:pPr>
      <w:bookmarkStart w:id="26" w:name="_Toc446863077"/>
      <w:bookmarkStart w:id="27" w:name="_Toc454520900"/>
      <w:r w:rsidRPr="001531E5">
        <w:rPr>
          <w:rFonts w:asciiTheme="majorBidi" w:eastAsia="Times New Roman" w:hAnsiTheme="majorBidi"/>
          <w:bCs w:val="0"/>
          <w:color w:val="auto"/>
          <w:sz w:val="24"/>
          <w:szCs w:val="24"/>
          <w:u w:val="single"/>
        </w:rPr>
        <w:t>8- DUREE, LIEU ET DEROULEMENT DE LA MISSION</w:t>
      </w:r>
      <w:bookmarkEnd w:id="26"/>
      <w:r w:rsidRPr="001531E5">
        <w:rPr>
          <w:rFonts w:asciiTheme="majorBidi" w:eastAsia="Times New Roman" w:hAnsiTheme="majorBidi"/>
          <w:bCs w:val="0"/>
          <w:color w:val="auto"/>
          <w:sz w:val="24"/>
          <w:szCs w:val="24"/>
          <w:u w:val="single"/>
        </w:rPr>
        <w:t> :</w:t>
      </w:r>
      <w:bookmarkEnd w:id="27"/>
    </w:p>
    <w:p w14:paraId="1A888C29" w14:textId="3B644755" w:rsidR="002957DF" w:rsidRPr="001531E5" w:rsidRDefault="002957DF" w:rsidP="000F537E">
      <w:pPr>
        <w:pStyle w:val="BodyText"/>
        <w:rPr>
          <w:rFonts w:asciiTheme="majorBidi" w:hAnsiTheme="majorBidi" w:cstheme="majorBidi"/>
          <w:sz w:val="24"/>
          <w:szCs w:val="24"/>
        </w:rPr>
      </w:pPr>
      <w:r w:rsidRPr="001531E5">
        <w:rPr>
          <w:rFonts w:asciiTheme="majorBidi" w:hAnsiTheme="majorBidi" w:cstheme="majorBidi"/>
          <w:sz w:val="24"/>
          <w:szCs w:val="24"/>
        </w:rPr>
        <w:t xml:space="preserve">La durée globale de la mission est de </w:t>
      </w:r>
      <w:r w:rsidR="00587C93" w:rsidRPr="001531E5">
        <w:rPr>
          <w:rFonts w:asciiTheme="majorBidi" w:hAnsiTheme="majorBidi" w:cstheme="majorBidi"/>
          <w:b/>
          <w:bCs/>
          <w:sz w:val="24"/>
          <w:szCs w:val="24"/>
        </w:rPr>
        <w:t>25</w:t>
      </w:r>
      <w:r w:rsidRPr="001531E5">
        <w:rPr>
          <w:rFonts w:asciiTheme="majorBidi" w:hAnsiTheme="majorBidi" w:cstheme="majorBidi"/>
          <w:b/>
          <w:sz w:val="24"/>
          <w:szCs w:val="24"/>
        </w:rPr>
        <w:t xml:space="preserve"> jours</w:t>
      </w:r>
      <w:r w:rsidR="00870C80" w:rsidRPr="001531E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531E5">
        <w:rPr>
          <w:rFonts w:asciiTheme="majorBidi" w:hAnsiTheme="majorBidi" w:cstheme="majorBidi"/>
          <w:sz w:val="24"/>
          <w:szCs w:val="24"/>
        </w:rPr>
        <w:t xml:space="preserve">de prestations au maximum incluant le temps consacré à l’élaboration des documents de la mission à réaliser sur </w:t>
      </w:r>
      <w:r w:rsidR="00C84915" w:rsidRPr="001531E5">
        <w:rPr>
          <w:rFonts w:asciiTheme="majorBidi" w:hAnsiTheme="majorBidi" w:cstheme="majorBidi"/>
          <w:sz w:val="24"/>
          <w:szCs w:val="24"/>
        </w:rPr>
        <w:t>la</w:t>
      </w:r>
      <w:r w:rsidRPr="001531E5">
        <w:rPr>
          <w:rFonts w:asciiTheme="majorBidi" w:hAnsiTheme="majorBidi" w:cstheme="majorBidi"/>
          <w:sz w:val="24"/>
          <w:szCs w:val="24"/>
        </w:rPr>
        <w:t xml:space="preserve"> période entre </w:t>
      </w:r>
      <w:r w:rsidR="005E40EB">
        <w:rPr>
          <w:rFonts w:asciiTheme="majorBidi" w:hAnsiTheme="majorBidi" w:cstheme="majorBidi"/>
          <w:b/>
          <w:sz w:val="24"/>
          <w:szCs w:val="24"/>
        </w:rPr>
        <w:t>Octobre</w:t>
      </w:r>
      <w:r w:rsidR="00983DC3" w:rsidRPr="001531E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531E5">
        <w:rPr>
          <w:rFonts w:asciiTheme="majorBidi" w:hAnsiTheme="majorBidi" w:cstheme="majorBidi"/>
          <w:b/>
          <w:sz w:val="24"/>
          <w:szCs w:val="24"/>
        </w:rPr>
        <w:t>202</w:t>
      </w:r>
      <w:r w:rsidR="00437BC3" w:rsidRPr="001531E5">
        <w:rPr>
          <w:rFonts w:asciiTheme="majorBidi" w:hAnsiTheme="majorBidi" w:cstheme="majorBidi"/>
          <w:b/>
          <w:sz w:val="24"/>
          <w:szCs w:val="24"/>
        </w:rPr>
        <w:t>2</w:t>
      </w:r>
      <w:r w:rsidRPr="001531E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B16CE">
        <w:rPr>
          <w:rFonts w:asciiTheme="majorBidi" w:hAnsiTheme="majorBidi" w:cstheme="majorBidi"/>
          <w:sz w:val="24"/>
          <w:szCs w:val="24"/>
        </w:rPr>
        <w:t>et</w:t>
      </w:r>
      <w:r w:rsidRPr="001531E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540AE" w:rsidRPr="001531E5">
        <w:rPr>
          <w:rFonts w:asciiTheme="majorBidi" w:hAnsiTheme="majorBidi" w:cstheme="majorBidi"/>
          <w:b/>
          <w:sz w:val="24"/>
          <w:szCs w:val="24"/>
        </w:rPr>
        <w:t>d</w:t>
      </w:r>
      <w:r w:rsidRPr="001531E5">
        <w:rPr>
          <w:rFonts w:asciiTheme="majorBidi" w:hAnsiTheme="majorBidi" w:cstheme="majorBidi"/>
          <w:b/>
          <w:sz w:val="24"/>
          <w:szCs w:val="24"/>
        </w:rPr>
        <w:t>écembre 202</w:t>
      </w:r>
      <w:r w:rsidR="00437BC3" w:rsidRPr="001531E5">
        <w:rPr>
          <w:rFonts w:asciiTheme="majorBidi" w:hAnsiTheme="majorBidi" w:cstheme="majorBidi"/>
          <w:b/>
          <w:sz w:val="24"/>
          <w:szCs w:val="24"/>
        </w:rPr>
        <w:t>2</w:t>
      </w:r>
      <w:r w:rsidRPr="001531E5">
        <w:rPr>
          <w:rFonts w:asciiTheme="majorBidi" w:hAnsiTheme="majorBidi" w:cstheme="majorBidi"/>
          <w:sz w:val="24"/>
          <w:szCs w:val="24"/>
        </w:rPr>
        <w:t>.</w:t>
      </w:r>
    </w:p>
    <w:p w14:paraId="68A5D40E" w14:textId="23B300E9" w:rsidR="008F438C" w:rsidRPr="001531E5" w:rsidRDefault="008F438C" w:rsidP="00FB16CE">
      <w:pPr>
        <w:rPr>
          <w:rFonts w:asciiTheme="majorBidi" w:hAnsiTheme="majorBidi" w:cstheme="majorBidi"/>
          <w:sz w:val="24"/>
          <w:szCs w:val="24"/>
        </w:rPr>
      </w:pPr>
      <w:r w:rsidRPr="001531E5">
        <w:rPr>
          <w:rFonts w:asciiTheme="majorBidi" w:hAnsiTheme="majorBidi" w:cstheme="majorBidi"/>
          <w:sz w:val="24"/>
          <w:szCs w:val="24"/>
        </w:rPr>
        <w:t xml:space="preserve">La répartition indicative du budget jours-homme de la mission est </w:t>
      </w:r>
      <w:r w:rsidR="00FB16CE">
        <w:rPr>
          <w:rFonts w:asciiTheme="majorBidi" w:hAnsiTheme="majorBidi" w:cstheme="majorBidi"/>
          <w:sz w:val="24"/>
          <w:szCs w:val="24"/>
        </w:rPr>
        <w:t>détaillée</w:t>
      </w:r>
      <w:r w:rsidRPr="001531E5">
        <w:rPr>
          <w:rFonts w:asciiTheme="majorBidi" w:hAnsiTheme="majorBidi" w:cstheme="majorBidi"/>
          <w:sz w:val="24"/>
          <w:szCs w:val="24"/>
        </w:rPr>
        <w:t xml:space="preserve"> dans le tableau ci-après :</w:t>
      </w:r>
    </w:p>
    <w:tbl>
      <w:tblPr>
        <w:tblStyle w:val="GIZTabelle16"/>
        <w:tblW w:w="0" w:type="auto"/>
        <w:tblInd w:w="11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2252"/>
        <w:gridCol w:w="2552"/>
      </w:tblGrid>
      <w:tr w:rsidR="00587C93" w:rsidRPr="001531E5" w14:paraId="16509B33" w14:textId="77777777" w:rsidTr="00CA6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FB6C" w14:textId="724C7B3A" w:rsidR="00587C93" w:rsidRPr="001531E5" w:rsidRDefault="00587C93" w:rsidP="000972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proofErr w:type="spellStart"/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</w:t>
            </w:r>
            <w:r w:rsidR="00CA6E55"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ctivités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2C02" w14:textId="697F04F7" w:rsidR="00587C93" w:rsidRPr="001531E5" w:rsidRDefault="00587C93" w:rsidP="000972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J-H </w:t>
            </w:r>
            <w:r w:rsidR="00CA6E55"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Consultant</w:t>
            </w:r>
          </w:p>
        </w:tc>
      </w:tr>
      <w:tr w:rsidR="00587C93" w:rsidRPr="001531E5" w14:paraId="426F4B14" w14:textId="77777777" w:rsidTr="00CA6E5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top w:val="single" w:sz="4" w:space="0" w:color="auto"/>
            </w:tcBorders>
          </w:tcPr>
          <w:p w14:paraId="2D5EB2B2" w14:textId="77777777" w:rsidR="00587C93" w:rsidRPr="001531E5" w:rsidRDefault="00587C93" w:rsidP="00097284">
            <w:pPr>
              <w:spacing w:after="0" w:line="0" w:lineRule="atLeast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FA0EDD" w14:textId="77777777" w:rsidR="00587C93" w:rsidRPr="001531E5" w:rsidRDefault="00587C93" w:rsidP="00097284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1</w:t>
            </w:r>
          </w:p>
        </w:tc>
      </w:tr>
      <w:tr w:rsidR="00587C93" w:rsidRPr="001531E5" w14:paraId="093A1255" w14:textId="77777777" w:rsidTr="00CA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A01256" w14:textId="77777777" w:rsidR="00587C93" w:rsidRPr="001531E5" w:rsidRDefault="00587C93" w:rsidP="0009728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A2</w:t>
            </w:r>
          </w:p>
        </w:tc>
        <w:tc>
          <w:tcPr>
            <w:tcW w:w="2552" w:type="dxa"/>
          </w:tcPr>
          <w:p w14:paraId="11EC3F71" w14:textId="63A1D6EE" w:rsidR="00587C93" w:rsidRPr="001531E5" w:rsidRDefault="00034094" w:rsidP="000972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6</w:t>
            </w:r>
          </w:p>
        </w:tc>
      </w:tr>
      <w:tr w:rsidR="00587C93" w:rsidRPr="001531E5" w14:paraId="1BE6A141" w14:textId="77777777" w:rsidTr="00CA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DDFA35" w14:textId="77777777" w:rsidR="00587C93" w:rsidRPr="001531E5" w:rsidRDefault="00587C93" w:rsidP="0009728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A3</w:t>
            </w:r>
          </w:p>
        </w:tc>
        <w:tc>
          <w:tcPr>
            <w:tcW w:w="2552" w:type="dxa"/>
          </w:tcPr>
          <w:p w14:paraId="45D486FD" w14:textId="01C49233" w:rsidR="00587C93" w:rsidRPr="001531E5" w:rsidRDefault="00CA6E55" w:rsidP="000972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2</w:t>
            </w:r>
          </w:p>
        </w:tc>
      </w:tr>
      <w:tr w:rsidR="00587C93" w:rsidRPr="001531E5" w14:paraId="1DDF6C0D" w14:textId="77777777" w:rsidTr="00CA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C5096F" w14:textId="77777777" w:rsidR="00587C93" w:rsidRPr="001531E5" w:rsidRDefault="00587C93" w:rsidP="0009728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A4</w:t>
            </w:r>
          </w:p>
        </w:tc>
        <w:tc>
          <w:tcPr>
            <w:tcW w:w="2552" w:type="dxa"/>
          </w:tcPr>
          <w:p w14:paraId="1707EAD4" w14:textId="0A631CAC" w:rsidR="00587C93" w:rsidRPr="001531E5" w:rsidDel="00BA0CEB" w:rsidRDefault="00034094" w:rsidP="000972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10</w:t>
            </w:r>
          </w:p>
        </w:tc>
      </w:tr>
      <w:tr w:rsidR="00587C93" w:rsidRPr="001531E5" w14:paraId="6753745A" w14:textId="77777777" w:rsidTr="00CA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40F95B" w14:textId="77777777" w:rsidR="00587C93" w:rsidRPr="001531E5" w:rsidRDefault="00587C93" w:rsidP="0009728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A5</w:t>
            </w:r>
          </w:p>
        </w:tc>
        <w:tc>
          <w:tcPr>
            <w:tcW w:w="2552" w:type="dxa"/>
          </w:tcPr>
          <w:p w14:paraId="1AAAC83D" w14:textId="22F7DC51" w:rsidR="00587C93" w:rsidRPr="001531E5" w:rsidRDefault="00CA6E55" w:rsidP="000972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3</w:t>
            </w:r>
          </w:p>
        </w:tc>
      </w:tr>
      <w:tr w:rsidR="00587C93" w:rsidRPr="001531E5" w14:paraId="78D9DE7A" w14:textId="77777777" w:rsidTr="00CA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A39450" w14:textId="77777777" w:rsidR="00587C93" w:rsidRPr="001531E5" w:rsidRDefault="00587C93" w:rsidP="0009728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A6</w:t>
            </w:r>
          </w:p>
        </w:tc>
        <w:tc>
          <w:tcPr>
            <w:tcW w:w="2552" w:type="dxa"/>
          </w:tcPr>
          <w:p w14:paraId="297D7EF4" w14:textId="77777777" w:rsidR="00587C93" w:rsidRPr="001531E5" w:rsidRDefault="00587C93" w:rsidP="000972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2</w:t>
            </w:r>
          </w:p>
        </w:tc>
      </w:tr>
      <w:tr w:rsidR="00587C93" w:rsidRPr="001531E5" w14:paraId="5B4EA555" w14:textId="77777777" w:rsidTr="00CA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38E9A7" w14:textId="2C27F511" w:rsidR="00587C93" w:rsidRPr="001531E5" w:rsidRDefault="00587C93" w:rsidP="0009728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A</w:t>
            </w:r>
            <w:r w:rsidR="00CA6E55"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52" w:type="dxa"/>
          </w:tcPr>
          <w:p w14:paraId="776884E8" w14:textId="77777777" w:rsidR="00587C93" w:rsidRPr="001531E5" w:rsidRDefault="00587C93" w:rsidP="000972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1</w:t>
            </w:r>
          </w:p>
        </w:tc>
      </w:tr>
      <w:tr w:rsidR="00587C93" w:rsidRPr="001531E5" w14:paraId="3E74AB2A" w14:textId="77777777" w:rsidTr="00CA6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29949A" w14:textId="77777777" w:rsidR="00587C93" w:rsidRPr="001531E5" w:rsidRDefault="00587C93" w:rsidP="00097284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TOTAL H/J</w:t>
            </w:r>
          </w:p>
        </w:tc>
        <w:tc>
          <w:tcPr>
            <w:tcW w:w="2552" w:type="dxa"/>
          </w:tcPr>
          <w:p w14:paraId="1D36D946" w14:textId="0E623585" w:rsidR="00587C93" w:rsidRPr="001531E5" w:rsidRDefault="00CA6E55" w:rsidP="000972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</w:pPr>
            <w:r w:rsidRPr="001531E5"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  <w:t>2</w:t>
            </w:r>
            <w:r w:rsidR="00034094" w:rsidRPr="001531E5"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  <w:t>5</w:t>
            </w:r>
          </w:p>
        </w:tc>
      </w:tr>
    </w:tbl>
    <w:p w14:paraId="455BB1AE" w14:textId="07797748" w:rsidR="00A41149" w:rsidRPr="001531E5" w:rsidRDefault="00A41149" w:rsidP="0099205F">
      <w:pPr>
        <w:rPr>
          <w:rFonts w:asciiTheme="majorBidi" w:hAnsiTheme="majorBidi" w:cstheme="majorBidi"/>
          <w:sz w:val="24"/>
          <w:szCs w:val="24"/>
          <w:lang w:eastAsia="en-GB"/>
        </w:rPr>
      </w:pPr>
    </w:p>
    <w:p w14:paraId="456BF9E4" w14:textId="316FCF87" w:rsidR="00587C93" w:rsidRPr="001531E5" w:rsidRDefault="00587C93" w:rsidP="00587C93">
      <w:pPr>
        <w:rPr>
          <w:rFonts w:asciiTheme="majorBidi" w:hAnsiTheme="majorBidi" w:cstheme="majorBidi"/>
          <w:sz w:val="24"/>
          <w:szCs w:val="24"/>
          <w:lang w:eastAsia="en-GB"/>
        </w:rPr>
      </w:pPr>
      <w:r w:rsidRPr="001531E5">
        <w:rPr>
          <w:rFonts w:asciiTheme="majorBidi" w:hAnsiTheme="majorBidi" w:cstheme="majorBidi"/>
          <w:sz w:val="24"/>
          <w:szCs w:val="24"/>
          <w:lang w:eastAsia="en-GB"/>
        </w:rPr>
        <w:t xml:space="preserve">La mission se réalise en un maximum de </w:t>
      </w: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>2 séquences (A1-A</w:t>
      </w:r>
      <w:r w:rsidR="00CA6E55" w:rsidRPr="001531E5">
        <w:rPr>
          <w:rFonts w:asciiTheme="majorBidi" w:hAnsiTheme="majorBidi" w:cstheme="majorBidi"/>
          <w:b/>
          <w:sz w:val="24"/>
          <w:szCs w:val="24"/>
          <w:lang w:eastAsia="en-GB"/>
        </w:rPr>
        <w:t>2</w:t>
      </w: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 xml:space="preserve"> en </w:t>
      </w:r>
      <w:r w:rsidR="00CA6E55" w:rsidRPr="001531E5">
        <w:rPr>
          <w:rFonts w:asciiTheme="majorBidi" w:hAnsiTheme="majorBidi" w:cstheme="majorBidi"/>
          <w:b/>
          <w:sz w:val="24"/>
          <w:szCs w:val="24"/>
          <w:lang w:eastAsia="en-GB"/>
        </w:rPr>
        <w:t>Octobre 2022</w:t>
      </w: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 xml:space="preserve"> - et A</w:t>
      </w:r>
      <w:r w:rsidR="00CA6E55" w:rsidRPr="001531E5">
        <w:rPr>
          <w:rFonts w:asciiTheme="majorBidi" w:hAnsiTheme="majorBidi" w:cstheme="majorBidi"/>
          <w:b/>
          <w:sz w:val="24"/>
          <w:szCs w:val="24"/>
          <w:lang w:eastAsia="en-GB"/>
        </w:rPr>
        <w:t>3</w:t>
      </w: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>-A</w:t>
      </w:r>
      <w:r w:rsidR="00CA6E55" w:rsidRPr="001531E5">
        <w:rPr>
          <w:rFonts w:asciiTheme="majorBidi" w:hAnsiTheme="majorBidi" w:cstheme="majorBidi"/>
          <w:b/>
          <w:sz w:val="24"/>
          <w:szCs w:val="24"/>
          <w:lang w:eastAsia="en-GB"/>
        </w:rPr>
        <w:t>6</w:t>
      </w: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 xml:space="preserve"> entre </w:t>
      </w:r>
      <w:r w:rsidR="00CA6E55" w:rsidRPr="001531E5">
        <w:rPr>
          <w:rFonts w:asciiTheme="majorBidi" w:hAnsiTheme="majorBidi" w:cstheme="majorBidi"/>
          <w:b/>
          <w:sz w:val="24"/>
          <w:szCs w:val="24"/>
          <w:lang w:eastAsia="en-GB"/>
        </w:rPr>
        <w:t>Novembre</w:t>
      </w: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 xml:space="preserve"> et décembre 20</w:t>
      </w:r>
      <w:r w:rsidR="00CA6E55" w:rsidRPr="001531E5">
        <w:rPr>
          <w:rFonts w:asciiTheme="majorBidi" w:hAnsiTheme="majorBidi" w:cstheme="majorBidi"/>
          <w:b/>
          <w:sz w:val="24"/>
          <w:szCs w:val="24"/>
          <w:lang w:eastAsia="en-GB"/>
        </w:rPr>
        <w:t>22</w:t>
      </w: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>)</w:t>
      </w:r>
      <w:r w:rsidRPr="001531E5">
        <w:rPr>
          <w:rFonts w:asciiTheme="majorBidi" w:hAnsiTheme="majorBidi" w:cstheme="majorBidi"/>
          <w:sz w:val="24"/>
          <w:szCs w:val="24"/>
          <w:lang w:eastAsia="en-GB"/>
        </w:rPr>
        <w:t>.</w:t>
      </w:r>
    </w:p>
    <w:p w14:paraId="59E1C5BE" w14:textId="3E3CBBD4" w:rsidR="00587C93" w:rsidRPr="001531E5" w:rsidRDefault="00587C93" w:rsidP="00CA6E55">
      <w:pPr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1531E5">
        <w:rPr>
          <w:rFonts w:asciiTheme="majorBidi" w:hAnsiTheme="majorBidi" w:cstheme="majorBidi"/>
          <w:b/>
          <w:sz w:val="24"/>
          <w:szCs w:val="24"/>
          <w:lang w:eastAsia="en-GB"/>
        </w:rPr>
        <w:t>Le lieu de travail</w:t>
      </w:r>
      <w:r w:rsidRPr="001531E5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="00D806AF">
        <w:rPr>
          <w:rFonts w:asciiTheme="majorBidi" w:hAnsiTheme="majorBidi" w:cstheme="majorBidi"/>
          <w:sz w:val="24"/>
          <w:szCs w:val="24"/>
          <w:lang w:eastAsia="en-GB"/>
        </w:rPr>
        <w:t xml:space="preserve">de </w:t>
      </w:r>
      <w:r w:rsidR="00D806AF">
        <w:rPr>
          <w:rFonts w:asciiTheme="majorBidi" w:hAnsiTheme="majorBidi" w:cstheme="majorBidi"/>
          <w:sz w:val="24"/>
          <w:szCs w:val="24"/>
        </w:rPr>
        <w:t>l’expert</w:t>
      </w:r>
      <w:r w:rsidR="00D806AF" w:rsidRPr="001531E5">
        <w:rPr>
          <w:rFonts w:asciiTheme="majorBidi" w:hAnsiTheme="majorBidi" w:cstheme="majorBidi"/>
          <w:sz w:val="24"/>
          <w:szCs w:val="24"/>
          <w:lang w:eastAsia="en-GB"/>
        </w:rPr>
        <w:t xml:space="preserve"> </w:t>
      </w:r>
      <w:r w:rsidRPr="001531E5">
        <w:rPr>
          <w:rFonts w:asciiTheme="majorBidi" w:hAnsiTheme="majorBidi" w:cstheme="majorBidi"/>
          <w:sz w:val="24"/>
          <w:szCs w:val="24"/>
          <w:lang w:eastAsia="en-GB"/>
        </w:rPr>
        <w:t xml:space="preserve">est </w:t>
      </w:r>
      <w:r w:rsidR="00FB16CE">
        <w:rPr>
          <w:rFonts w:asciiTheme="majorBidi" w:hAnsiTheme="majorBidi" w:cstheme="majorBidi"/>
          <w:sz w:val="24"/>
          <w:szCs w:val="24"/>
          <w:lang w:eastAsia="en-GB"/>
        </w:rPr>
        <w:t xml:space="preserve">à </w:t>
      </w:r>
      <w:r w:rsidRPr="001531E5">
        <w:rPr>
          <w:rFonts w:asciiTheme="majorBidi" w:hAnsiTheme="majorBidi" w:cstheme="majorBidi"/>
          <w:sz w:val="24"/>
          <w:szCs w:val="24"/>
          <w:lang w:eastAsia="en-GB"/>
        </w:rPr>
        <w:t xml:space="preserve">Tunis, </w:t>
      </w:r>
      <w:r w:rsidRPr="001531E5">
        <w:rPr>
          <w:rFonts w:asciiTheme="majorBidi" w:hAnsiTheme="majorBidi" w:cstheme="majorBidi"/>
          <w:sz w:val="24"/>
          <w:szCs w:val="24"/>
          <w:u w:val="single"/>
          <w:lang w:eastAsia="en-GB"/>
        </w:rPr>
        <w:t>précisément au siège de l’INEAS</w:t>
      </w:r>
      <w:r w:rsidRPr="001531E5">
        <w:rPr>
          <w:rFonts w:asciiTheme="majorBidi" w:hAnsiTheme="majorBidi" w:cstheme="majorBidi"/>
          <w:sz w:val="24"/>
          <w:szCs w:val="24"/>
          <w:lang w:eastAsia="en-GB"/>
        </w:rPr>
        <w:t xml:space="preserve">. </w:t>
      </w:r>
    </w:p>
    <w:p w14:paraId="77DD55EE" w14:textId="0E722F4B" w:rsidR="00236C47" w:rsidRPr="001531E5" w:rsidRDefault="00305D28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531E5"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  <w:r w:rsidR="00236C47" w:rsidRPr="001531E5">
        <w:rPr>
          <w:rFonts w:asciiTheme="majorBidi" w:hAnsiTheme="majorBidi" w:cstheme="majorBidi"/>
          <w:b/>
          <w:bCs/>
          <w:sz w:val="24"/>
          <w:szCs w:val="24"/>
          <w:u w:val="single"/>
        </w:rPr>
        <w:t>- PROFIL D</w:t>
      </w:r>
      <w:r w:rsidR="00034094" w:rsidRPr="001531E5">
        <w:rPr>
          <w:rFonts w:asciiTheme="majorBidi" w:hAnsiTheme="majorBidi" w:cstheme="majorBidi"/>
          <w:b/>
          <w:bCs/>
          <w:sz w:val="24"/>
          <w:szCs w:val="24"/>
          <w:u w:val="single"/>
        </w:rPr>
        <w:t>U CONSULTANT</w:t>
      </w:r>
      <w:r w:rsidR="00236C47" w:rsidRPr="001531E5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37B78C27" w14:textId="77777777" w:rsidR="001531E5" w:rsidRPr="001531E5" w:rsidRDefault="001531E5" w:rsidP="00D52BB1">
      <w:pPr>
        <w:spacing w:after="0"/>
        <w:rPr>
          <w:rFonts w:asciiTheme="majorBidi" w:hAnsiTheme="majorBidi" w:cstheme="majorBidi"/>
          <w:sz w:val="24"/>
          <w:szCs w:val="24"/>
          <w:u w:val="single"/>
          <w:lang w:eastAsia="fr-FR"/>
        </w:rPr>
      </w:pPr>
      <w:r w:rsidRPr="001531E5">
        <w:rPr>
          <w:rFonts w:asciiTheme="majorBidi" w:hAnsiTheme="majorBidi" w:cstheme="majorBidi"/>
          <w:sz w:val="24"/>
          <w:szCs w:val="24"/>
          <w:u w:val="single"/>
          <w:lang w:eastAsia="fr-FR"/>
        </w:rPr>
        <w:t>Qualifications et compétences</w:t>
      </w:r>
    </w:p>
    <w:p w14:paraId="17888BC3" w14:textId="77777777" w:rsidR="001531E5" w:rsidRPr="001531E5" w:rsidRDefault="001531E5" w:rsidP="00D52BB1">
      <w:pPr>
        <w:spacing w:after="0"/>
        <w:contextualSpacing/>
        <w:rPr>
          <w:rFonts w:asciiTheme="majorBidi" w:hAnsiTheme="majorBidi" w:cstheme="majorBidi"/>
          <w:sz w:val="24"/>
          <w:szCs w:val="24"/>
          <w:lang w:eastAsia="fr-FR"/>
        </w:rPr>
      </w:pPr>
      <w:r w:rsidRPr="001531E5">
        <w:rPr>
          <w:rFonts w:asciiTheme="majorBidi" w:hAnsiTheme="majorBidi" w:cstheme="majorBidi"/>
          <w:sz w:val="24"/>
          <w:szCs w:val="24"/>
          <w:lang w:eastAsia="fr-FR"/>
        </w:rPr>
        <w:t xml:space="preserve">- Doctorat en médecine </w:t>
      </w:r>
    </w:p>
    <w:p w14:paraId="32211DBA" w14:textId="60C014F6" w:rsidR="001531E5" w:rsidRDefault="001531E5" w:rsidP="00D52BB1">
      <w:pPr>
        <w:spacing w:after="0"/>
        <w:contextualSpacing/>
        <w:rPr>
          <w:rFonts w:asciiTheme="majorBidi" w:hAnsiTheme="majorBidi" w:cstheme="majorBidi"/>
          <w:sz w:val="24"/>
          <w:szCs w:val="24"/>
          <w:lang w:eastAsia="fr-FR"/>
        </w:rPr>
      </w:pPr>
      <w:r w:rsidRPr="001531E5">
        <w:rPr>
          <w:rFonts w:asciiTheme="majorBidi" w:hAnsiTheme="majorBidi" w:cstheme="majorBidi"/>
          <w:sz w:val="24"/>
          <w:szCs w:val="24"/>
          <w:lang w:eastAsia="fr-FR"/>
        </w:rPr>
        <w:t>- Compétence/Spécialité en anesthésie-réanimation ou en chirurgie</w:t>
      </w:r>
    </w:p>
    <w:p w14:paraId="43F10D90" w14:textId="77777777" w:rsidR="00D52BB1" w:rsidRPr="001531E5" w:rsidRDefault="00D52BB1" w:rsidP="00D52BB1">
      <w:pPr>
        <w:spacing w:after="0"/>
        <w:contextualSpacing/>
        <w:rPr>
          <w:rFonts w:asciiTheme="majorBidi" w:hAnsiTheme="majorBidi" w:cstheme="majorBidi"/>
          <w:sz w:val="24"/>
          <w:szCs w:val="24"/>
          <w:lang w:eastAsia="fr-FR"/>
        </w:rPr>
      </w:pPr>
    </w:p>
    <w:p w14:paraId="3B7E2BA2" w14:textId="77777777" w:rsidR="001531E5" w:rsidRPr="00D52BB1" w:rsidRDefault="001531E5" w:rsidP="00D52BB1">
      <w:pPr>
        <w:spacing w:after="0"/>
        <w:rPr>
          <w:rFonts w:asciiTheme="majorBidi" w:hAnsiTheme="majorBidi" w:cstheme="majorBidi"/>
          <w:sz w:val="24"/>
          <w:szCs w:val="24"/>
          <w:u w:val="single"/>
          <w:lang w:eastAsia="fr-FR"/>
        </w:rPr>
      </w:pPr>
      <w:r w:rsidRPr="00D52BB1">
        <w:rPr>
          <w:rFonts w:asciiTheme="majorBidi" w:hAnsiTheme="majorBidi" w:cstheme="majorBidi"/>
          <w:sz w:val="24"/>
          <w:szCs w:val="24"/>
          <w:u w:val="single"/>
          <w:lang w:eastAsia="fr-FR"/>
        </w:rPr>
        <w:t xml:space="preserve">Expérience professionnelle générale </w:t>
      </w:r>
    </w:p>
    <w:p w14:paraId="23DB8644" w14:textId="77777777" w:rsidR="00D52BB1" w:rsidRDefault="001531E5" w:rsidP="00D52BB1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 w:rsidRPr="00D52BB1">
        <w:rPr>
          <w:rFonts w:asciiTheme="majorBidi" w:hAnsiTheme="majorBidi" w:cstheme="majorBidi"/>
          <w:sz w:val="24"/>
          <w:szCs w:val="24"/>
        </w:rPr>
        <w:t>Au minimum, 10 ans d’expérience en tant que médecin anesthésiste dans un bloc opératoire</w:t>
      </w:r>
    </w:p>
    <w:p w14:paraId="725CAF21" w14:textId="38D37926" w:rsidR="001531E5" w:rsidRPr="00D52BB1" w:rsidRDefault="001531E5" w:rsidP="00D52BB1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 w:rsidRPr="00D52BB1">
        <w:rPr>
          <w:rFonts w:asciiTheme="majorBidi" w:hAnsiTheme="majorBidi" w:cstheme="majorBidi"/>
          <w:sz w:val="24"/>
          <w:szCs w:val="24"/>
        </w:rPr>
        <w:t xml:space="preserve"> </w:t>
      </w:r>
    </w:p>
    <w:p w14:paraId="68B7778D" w14:textId="77777777" w:rsidR="001531E5" w:rsidRPr="00D52BB1" w:rsidRDefault="001531E5" w:rsidP="00D52BB1">
      <w:pPr>
        <w:spacing w:after="0"/>
        <w:rPr>
          <w:rFonts w:asciiTheme="majorBidi" w:hAnsiTheme="majorBidi" w:cstheme="majorBidi"/>
          <w:sz w:val="24"/>
          <w:szCs w:val="24"/>
          <w:u w:val="single"/>
          <w:lang w:eastAsia="fr-FR"/>
        </w:rPr>
      </w:pPr>
      <w:r w:rsidRPr="00D52BB1">
        <w:rPr>
          <w:rFonts w:asciiTheme="majorBidi" w:hAnsiTheme="majorBidi" w:cstheme="majorBidi"/>
          <w:sz w:val="24"/>
          <w:szCs w:val="24"/>
          <w:u w:val="single"/>
          <w:lang w:eastAsia="fr-FR"/>
        </w:rPr>
        <w:t xml:space="preserve">Expérience professionnelle spécifique </w:t>
      </w:r>
    </w:p>
    <w:p w14:paraId="1B1F7408" w14:textId="77777777" w:rsidR="00D52BB1" w:rsidRPr="00D52BB1" w:rsidRDefault="00D52BB1" w:rsidP="00D52BB1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52BB1">
        <w:rPr>
          <w:rFonts w:asciiTheme="majorBidi" w:hAnsiTheme="majorBidi" w:cstheme="majorBidi"/>
          <w:color w:val="000000" w:themeColor="text1"/>
          <w:sz w:val="24"/>
          <w:szCs w:val="24"/>
          <w:lang w:eastAsia="en-GB"/>
        </w:rPr>
        <w:t xml:space="preserve">- Connaissance du système de santé et de la réglementation tunisienne </w:t>
      </w:r>
    </w:p>
    <w:p w14:paraId="61725215" w14:textId="2467E2F3" w:rsidR="001531E5" w:rsidRPr="00D52BB1" w:rsidRDefault="00D52BB1" w:rsidP="00D52BB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531E5" w:rsidRPr="00D52BB1">
        <w:rPr>
          <w:rFonts w:asciiTheme="majorBidi" w:hAnsiTheme="majorBidi" w:cstheme="majorBidi"/>
          <w:sz w:val="24"/>
          <w:szCs w:val="24"/>
        </w:rPr>
        <w:t>Connaissance des aspects managériaux, organisationnels et techniques du bloc opératoire</w:t>
      </w:r>
    </w:p>
    <w:p w14:paraId="79C3E51D" w14:textId="77777777" w:rsidR="001531E5" w:rsidRPr="00D52BB1" w:rsidRDefault="001531E5" w:rsidP="00D52BB1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 w:rsidRPr="00D52BB1">
        <w:rPr>
          <w:rFonts w:asciiTheme="majorBidi" w:hAnsiTheme="majorBidi" w:cstheme="majorBidi"/>
          <w:sz w:val="24"/>
          <w:szCs w:val="24"/>
        </w:rPr>
        <w:lastRenderedPageBreak/>
        <w:t>- Participation à des projets d'amélioration de la qualité et de la sécurité des patients</w:t>
      </w:r>
    </w:p>
    <w:p w14:paraId="1851F5D3" w14:textId="77777777" w:rsidR="001531E5" w:rsidRPr="00D52BB1" w:rsidRDefault="001531E5" w:rsidP="00D52BB1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 w:rsidRPr="00D52BB1">
        <w:rPr>
          <w:rFonts w:asciiTheme="majorBidi" w:hAnsiTheme="majorBidi" w:cstheme="majorBidi"/>
          <w:sz w:val="24"/>
          <w:szCs w:val="24"/>
        </w:rPr>
        <w:t>- Participation à l’élaboration de référentiels ou de guides</w:t>
      </w:r>
      <w:r w:rsidRPr="00D52BB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D52BB1">
        <w:rPr>
          <w:rFonts w:asciiTheme="majorBidi" w:hAnsiTheme="majorBidi" w:cstheme="majorBidi"/>
          <w:sz w:val="24"/>
          <w:szCs w:val="24"/>
        </w:rPr>
        <w:t xml:space="preserve">de bonnes pratiques managériales dans le domaine de la qualité/accréditation </w:t>
      </w:r>
    </w:p>
    <w:p w14:paraId="1B5065B6" w14:textId="77777777" w:rsidR="001531E5" w:rsidRPr="00D52BB1" w:rsidRDefault="001531E5" w:rsidP="00D52BB1">
      <w:pPr>
        <w:spacing w:after="0"/>
        <w:rPr>
          <w:rFonts w:asciiTheme="majorBidi" w:hAnsiTheme="majorBidi" w:cstheme="majorBidi"/>
          <w:sz w:val="24"/>
          <w:szCs w:val="24"/>
        </w:rPr>
      </w:pPr>
      <w:r w:rsidRPr="00D52BB1">
        <w:rPr>
          <w:rFonts w:asciiTheme="majorBidi" w:hAnsiTheme="majorBidi" w:cstheme="majorBidi"/>
          <w:sz w:val="24"/>
          <w:szCs w:val="24"/>
        </w:rPr>
        <w:t>- Connaissance des dispositifs d’accréditation en santé</w:t>
      </w:r>
    </w:p>
    <w:p w14:paraId="765ACA96" w14:textId="3C63A151" w:rsidR="001531E5" w:rsidRDefault="001531E5" w:rsidP="00D52BB1">
      <w:pPr>
        <w:spacing w:after="0"/>
        <w:rPr>
          <w:rFonts w:asciiTheme="majorBidi" w:hAnsiTheme="majorBidi" w:cstheme="majorBidi"/>
          <w:sz w:val="24"/>
          <w:szCs w:val="24"/>
        </w:rPr>
      </w:pPr>
      <w:r w:rsidRPr="00D52BB1">
        <w:rPr>
          <w:rFonts w:asciiTheme="majorBidi" w:hAnsiTheme="majorBidi" w:cstheme="majorBidi"/>
          <w:sz w:val="24"/>
          <w:szCs w:val="24"/>
        </w:rPr>
        <w:t xml:space="preserve">- Être membre </w:t>
      </w:r>
      <w:r w:rsidR="00D52BB1">
        <w:rPr>
          <w:rFonts w:asciiTheme="majorBidi" w:hAnsiTheme="majorBidi" w:cstheme="majorBidi"/>
          <w:sz w:val="24"/>
          <w:szCs w:val="24"/>
        </w:rPr>
        <w:t>au sein d’un comité/commission/</w:t>
      </w:r>
      <w:r w:rsidRPr="00D52BB1">
        <w:rPr>
          <w:rFonts w:asciiTheme="majorBidi" w:hAnsiTheme="majorBidi" w:cstheme="majorBidi"/>
          <w:sz w:val="24"/>
          <w:szCs w:val="24"/>
        </w:rPr>
        <w:t xml:space="preserve">association professionnelle œuvrant en </w:t>
      </w:r>
      <w:r w:rsidR="00D52BB1">
        <w:rPr>
          <w:rFonts w:asciiTheme="majorBidi" w:hAnsiTheme="majorBidi" w:cstheme="majorBidi"/>
          <w:sz w:val="24"/>
          <w:szCs w:val="24"/>
        </w:rPr>
        <w:t xml:space="preserve">matière de qualité des soins ou de </w:t>
      </w:r>
      <w:r w:rsidRPr="00D52BB1">
        <w:rPr>
          <w:rFonts w:asciiTheme="majorBidi" w:hAnsiTheme="majorBidi" w:cstheme="majorBidi"/>
          <w:sz w:val="24"/>
          <w:szCs w:val="24"/>
        </w:rPr>
        <w:t>gestion des risques serait un atout.</w:t>
      </w:r>
    </w:p>
    <w:p w14:paraId="3D63109B" w14:textId="77777777" w:rsidR="00D52BB1" w:rsidRPr="00D52BB1" w:rsidRDefault="00D52BB1" w:rsidP="00D52BB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41AC3AC" w14:textId="77777777" w:rsidR="001531E5" w:rsidRPr="00D52BB1" w:rsidRDefault="001531E5" w:rsidP="00D52BB1">
      <w:pPr>
        <w:spacing w:after="0"/>
        <w:rPr>
          <w:rFonts w:asciiTheme="majorBidi" w:hAnsiTheme="majorBidi" w:cstheme="majorBidi"/>
          <w:sz w:val="24"/>
          <w:szCs w:val="24"/>
          <w:u w:val="single"/>
          <w:lang w:eastAsia="fr-FR"/>
        </w:rPr>
      </w:pPr>
      <w:r w:rsidRPr="00D52BB1">
        <w:rPr>
          <w:rFonts w:asciiTheme="majorBidi" w:hAnsiTheme="majorBidi" w:cstheme="majorBidi"/>
          <w:sz w:val="24"/>
          <w:szCs w:val="24"/>
          <w:u w:val="single"/>
          <w:lang w:eastAsia="fr-FR"/>
        </w:rPr>
        <w:t>Langue</w:t>
      </w:r>
    </w:p>
    <w:p w14:paraId="61D1559B" w14:textId="77777777" w:rsidR="001531E5" w:rsidRPr="00D52BB1" w:rsidRDefault="001531E5" w:rsidP="00D52BB1">
      <w:pPr>
        <w:spacing w:after="0"/>
        <w:contextualSpacing/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eastAsia="fr-FR"/>
        </w:rPr>
      </w:pPr>
      <w:r w:rsidRPr="00D52BB1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- Maîtrise de la langue française (écrite et parlée)</w:t>
      </w:r>
    </w:p>
    <w:p w14:paraId="36CDF706" w14:textId="3B6FBD74" w:rsidR="001531E5" w:rsidRPr="00D52BB1" w:rsidRDefault="001531E5" w:rsidP="00D52BB1">
      <w:pPr>
        <w:spacing w:after="0"/>
        <w:contextualSpacing/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</w:pPr>
      <w:r w:rsidRPr="00D52BB1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- La maîtrise de la langue arabe sera considérée comme un avantage</w:t>
      </w:r>
      <w:r w:rsidR="009A2C6B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.</w:t>
      </w:r>
    </w:p>
    <w:p w14:paraId="4D8D104F" w14:textId="77777777" w:rsidR="001531E5" w:rsidRPr="00D52BB1" w:rsidRDefault="001531E5" w:rsidP="00D52BB1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F61FD59" w14:textId="1EF9E235" w:rsidR="00EC6F64" w:rsidRPr="00B349F4" w:rsidRDefault="00305D28" w:rsidP="00B349F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  <w:r w:rsidRPr="00B349F4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B41689" w:rsidRPr="00B349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bookmarkStart w:id="28" w:name="_Toc276559258"/>
      <w:bookmarkStart w:id="29" w:name="_Toc282434619"/>
      <w:r w:rsidR="00B349F4" w:rsidRPr="00B349F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bookmarkEnd w:id="28"/>
      <w:bookmarkEnd w:id="29"/>
      <w:r w:rsidR="00B349F4" w:rsidRPr="00B349F4">
        <w:rPr>
          <w:rFonts w:ascii="Times New Roman" w:hAnsi="Times New Roman" w:cs="Times New Roman"/>
          <w:b/>
          <w:sz w:val="24"/>
          <w:szCs w:val="24"/>
          <w:u w:val="single"/>
        </w:rPr>
        <w:t>ONTENU ET DÉLAI DE SOUMISSION DES LIVRABLES</w:t>
      </w:r>
      <w:r w:rsidR="00B349F4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4CC4EC8A" w14:textId="77777777" w:rsidR="00B349F4" w:rsidRDefault="00305D28" w:rsidP="007645AD">
      <w:pPr>
        <w:rPr>
          <w:rFonts w:ascii="Times New Roman" w:hAnsi="Times New Roman" w:cs="Times New Roman"/>
          <w:sz w:val="24"/>
          <w:szCs w:val="24"/>
        </w:rPr>
      </w:pPr>
      <w:r w:rsidRPr="00A42595">
        <w:rPr>
          <w:rFonts w:ascii="Times New Roman" w:hAnsi="Times New Roman" w:cs="Times New Roman"/>
          <w:sz w:val="24"/>
          <w:szCs w:val="24"/>
          <w:lang w:eastAsia="en-GB"/>
        </w:rPr>
        <w:t>Dans le cadre de la présente mission, le rapport à élaborer par</w:t>
      </w:r>
      <w:r w:rsidR="007645AD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806AF">
        <w:rPr>
          <w:rFonts w:asciiTheme="majorBidi" w:hAnsiTheme="majorBidi" w:cstheme="majorBidi"/>
          <w:sz w:val="24"/>
          <w:szCs w:val="24"/>
        </w:rPr>
        <w:t>l’expert</w:t>
      </w:r>
      <w:r w:rsidR="00D806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645AD">
        <w:rPr>
          <w:rFonts w:ascii="Times New Roman" w:hAnsi="Times New Roman" w:cs="Times New Roman"/>
          <w:sz w:val="24"/>
          <w:szCs w:val="24"/>
          <w:lang w:eastAsia="en-GB"/>
        </w:rPr>
        <w:t xml:space="preserve">est le </w:t>
      </w:r>
      <w:r w:rsidRPr="007645AD">
        <w:rPr>
          <w:rFonts w:ascii="Times New Roman" w:hAnsi="Times New Roman" w:cs="Times New Roman"/>
          <w:sz w:val="24"/>
          <w:szCs w:val="24"/>
          <w:lang w:val="fr-BE"/>
        </w:rPr>
        <w:t>rapport de mission</w:t>
      </w:r>
      <w:r w:rsidR="002615FF" w:rsidRPr="007645AD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A42595" w:rsidRPr="007645AD">
        <w:rPr>
          <w:rFonts w:ascii="Times New Roman" w:hAnsi="Times New Roman" w:cs="Times New Roman"/>
          <w:sz w:val="24"/>
          <w:szCs w:val="24"/>
          <w:lang w:eastAsia="en-GB"/>
        </w:rPr>
        <w:t xml:space="preserve">final </w:t>
      </w:r>
      <w:r w:rsidR="00B349F4">
        <w:rPr>
          <w:rFonts w:ascii="Times New Roman" w:hAnsi="Times New Roman" w:cs="Times New Roman"/>
          <w:sz w:val="24"/>
          <w:szCs w:val="24"/>
          <w:lang w:eastAsia="en-GB"/>
        </w:rPr>
        <w:t xml:space="preserve">rédigé en langue française et </w:t>
      </w:r>
      <w:r w:rsidRPr="007645AD">
        <w:rPr>
          <w:rFonts w:ascii="Times New Roman" w:hAnsi="Times New Roman" w:cs="Times New Roman"/>
          <w:sz w:val="24"/>
          <w:szCs w:val="24"/>
        </w:rPr>
        <w:t>intégrant</w:t>
      </w:r>
      <w:r w:rsidR="007645AD">
        <w:rPr>
          <w:rFonts w:ascii="Times New Roman" w:hAnsi="Times New Roman" w:cs="Times New Roman"/>
          <w:sz w:val="24"/>
          <w:szCs w:val="24"/>
        </w:rPr>
        <w:t xml:space="preserve"> en annexe</w:t>
      </w:r>
      <w:r w:rsidR="00764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42595" w:rsidRPr="007645AD">
        <w:rPr>
          <w:rFonts w:ascii="Times New Roman" w:eastAsia="Calibri" w:hAnsi="Times New Roman" w:cs="Times New Roman"/>
          <w:sz w:val="24"/>
          <w:szCs w:val="24"/>
          <w:lang w:eastAsia="en-US"/>
        </w:rPr>
        <w:t>l</w:t>
      </w:r>
      <w:r w:rsidRPr="007645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’ensemble des livrables </w:t>
      </w:r>
      <w:proofErr w:type="spellStart"/>
      <w:r w:rsidR="007645AD">
        <w:rPr>
          <w:rFonts w:ascii="Times New Roman" w:eastAsia="Calibri" w:hAnsi="Times New Roman" w:cs="Times New Roman"/>
          <w:sz w:val="24"/>
          <w:szCs w:val="24"/>
          <w:lang w:eastAsia="en-US"/>
        </w:rPr>
        <w:t>sus-cités</w:t>
      </w:r>
      <w:proofErr w:type="spellEnd"/>
      <w:r w:rsidR="00B349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FD517" w14:textId="471563D6" w:rsidR="00CD35D2" w:rsidRPr="007645AD" w:rsidRDefault="00B349F4" w:rsidP="007645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Ce rapport </w:t>
      </w:r>
      <w:r w:rsidR="007645AD">
        <w:rPr>
          <w:rFonts w:ascii="Times New Roman" w:hAnsi="Times New Roman" w:cs="Times New Roman"/>
          <w:sz w:val="24"/>
          <w:szCs w:val="24"/>
        </w:rPr>
        <w:t xml:space="preserve">doit être soumis à l’INEAS </w:t>
      </w:r>
      <w:r w:rsidRPr="00B349F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pour validation, </w:t>
      </w:r>
      <w:r w:rsidR="00305D28" w:rsidRPr="00B349F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dans les </w:t>
      </w:r>
      <w:r w:rsidR="00414752" w:rsidRPr="00B349F4">
        <w:rPr>
          <w:rFonts w:ascii="Times New Roman" w:hAnsi="Times New Roman" w:cs="Times New Roman"/>
          <w:bCs/>
          <w:sz w:val="24"/>
          <w:szCs w:val="24"/>
          <w:lang w:eastAsia="en-GB"/>
        </w:rPr>
        <w:t>sept</w:t>
      </w:r>
      <w:r w:rsidR="00305D28" w:rsidRPr="00B349F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jours calendaires suivant la date de fin de la mission d</w:t>
      </w:r>
      <w:r w:rsidR="00414752" w:rsidRPr="00B349F4">
        <w:rPr>
          <w:rFonts w:ascii="Times New Roman" w:hAnsi="Times New Roman" w:cs="Times New Roman"/>
          <w:bCs/>
          <w:sz w:val="24"/>
          <w:szCs w:val="24"/>
          <w:lang w:eastAsia="en-GB"/>
        </w:rPr>
        <w:t>e l’expert</w:t>
      </w:r>
      <w:r w:rsidR="00305D28" w:rsidRPr="00B349F4">
        <w:rPr>
          <w:rFonts w:ascii="Times New Roman" w:hAnsi="Times New Roman" w:cs="Times New Roman"/>
          <w:bCs/>
          <w:sz w:val="24"/>
          <w:szCs w:val="24"/>
          <w:lang w:eastAsia="en-GB"/>
        </w:rPr>
        <w:t>, au plus tard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14:paraId="672107A6" w14:textId="77777777" w:rsidR="007645AD" w:rsidRPr="00CD35D2" w:rsidRDefault="007645AD" w:rsidP="007645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484A5" w14:textId="77777777" w:rsidR="00236C47" w:rsidRDefault="00EC6F64" w:rsidP="00236C4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11</w:t>
      </w:r>
      <w:r w:rsidR="00305D28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236C47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CONTRIBUTION DE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 </w:t>
      </w:r>
      <w:r w:rsidR="00B02A91">
        <w:rPr>
          <w:rFonts w:asciiTheme="majorBidi" w:hAnsiTheme="majorBidi" w:cstheme="majorBidi"/>
          <w:b/>
          <w:bCs/>
          <w:sz w:val="24"/>
          <w:szCs w:val="24"/>
          <w:u w:val="single"/>
        </w:rPr>
        <w:t>BENEFICIAIRES</w:t>
      </w:r>
      <w:r w:rsidR="00B02A91" w:rsidRPr="00A37B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14:paraId="2C8DCA24" w14:textId="3611DF27" w:rsidR="00414752" w:rsidRPr="00414752" w:rsidRDefault="00B02A91" w:rsidP="0041475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B02A91">
        <w:rPr>
          <w:rFonts w:ascii="Times New Roman" w:hAnsi="Times New Roman" w:cs="Times New Roman"/>
          <w:sz w:val="24"/>
          <w:szCs w:val="24"/>
          <w:lang w:eastAsia="en-GB"/>
        </w:rPr>
        <w:t>L</w:t>
      </w:r>
      <w:r w:rsidR="007645AD">
        <w:rPr>
          <w:rFonts w:ascii="Times New Roman" w:hAnsi="Times New Roman" w:cs="Times New Roman"/>
          <w:sz w:val="24"/>
          <w:szCs w:val="24"/>
          <w:lang w:eastAsia="en-GB"/>
        </w:rPr>
        <w:t>’INEAS</w:t>
      </w:r>
      <w:r w:rsidRPr="00B02A91">
        <w:rPr>
          <w:rFonts w:ascii="Times New Roman" w:hAnsi="Times New Roman" w:cs="Times New Roman"/>
          <w:sz w:val="24"/>
          <w:szCs w:val="24"/>
          <w:lang w:eastAsia="en-GB"/>
        </w:rPr>
        <w:t xml:space="preserve"> s’engage à </w:t>
      </w:r>
      <w:r w:rsidR="00414752">
        <w:rPr>
          <w:rFonts w:ascii="Times New Roman" w:hAnsi="Times New Roman" w:cs="Times New Roman"/>
          <w:sz w:val="24"/>
          <w:szCs w:val="24"/>
          <w:lang w:eastAsia="en-GB"/>
        </w:rPr>
        <w:t>m</w:t>
      </w:r>
      <w:r w:rsidRPr="00414752">
        <w:rPr>
          <w:rFonts w:ascii="Times New Roman" w:hAnsi="Times New Roman" w:cs="Times New Roman"/>
          <w:sz w:val="24"/>
          <w:szCs w:val="24"/>
          <w:lang w:eastAsia="en-GB"/>
        </w:rPr>
        <w:t xml:space="preserve">ettre à la disposition </w:t>
      </w:r>
      <w:r w:rsidR="00D806AF" w:rsidRPr="00414752">
        <w:rPr>
          <w:rFonts w:ascii="Times New Roman" w:hAnsi="Times New Roman" w:cs="Times New Roman"/>
          <w:sz w:val="24"/>
          <w:szCs w:val="24"/>
          <w:lang w:eastAsia="en-GB"/>
        </w:rPr>
        <w:t xml:space="preserve">de </w:t>
      </w:r>
      <w:r w:rsidR="00D806AF" w:rsidRPr="00414752">
        <w:rPr>
          <w:rFonts w:asciiTheme="majorBidi" w:hAnsiTheme="majorBidi" w:cstheme="majorBidi"/>
          <w:sz w:val="24"/>
          <w:szCs w:val="24"/>
        </w:rPr>
        <w:t>l’expert</w:t>
      </w:r>
      <w:r w:rsidR="00D806AF" w:rsidRPr="0041475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414752">
        <w:rPr>
          <w:rFonts w:ascii="Times New Roman" w:hAnsi="Times New Roman" w:cs="Times New Roman"/>
          <w:sz w:val="24"/>
          <w:szCs w:val="24"/>
          <w:lang w:eastAsia="en-GB"/>
        </w:rPr>
        <w:t>toute la documentation</w:t>
      </w:r>
      <w:r w:rsidR="00414752" w:rsidRPr="00414752">
        <w:rPr>
          <w:rFonts w:ascii="Times New Roman" w:hAnsi="Times New Roman" w:cs="Times New Roman"/>
          <w:sz w:val="24"/>
          <w:szCs w:val="24"/>
          <w:lang w:eastAsia="en-GB"/>
        </w:rPr>
        <w:t xml:space="preserve"> utile</w:t>
      </w:r>
      <w:r w:rsidRPr="0041475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14752" w:rsidRPr="00414752">
        <w:rPr>
          <w:rFonts w:ascii="Times New Roman" w:hAnsi="Times New Roman" w:cs="Times New Roman"/>
          <w:sz w:val="24"/>
          <w:szCs w:val="24"/>
          <w:lang w:eastAsia="en-GB"/>
        </w:rPr>
        <w:t xml:space="preserve">et </w:t>
      </w:r>
      <w:r w:rsidR="00414752" w:rsidRPr="00414752">
        <w:rPr>
          <w:rFonts w:asciiTheme="majorHAnsi" w:hAnsiTheme="majorHAnsi" w:cs="Times New Roman"/>
          <w:sz w:val="24"/>
          <w:szCs w:val="24"/>
        </w:rPr>
        <w:t xml:space="preserve">la logistique nécessaire </w:t>
      </w:r>
      <w:r w:rsidR="00414752" w:rsidRPr="00414752">
        <w:rPr>
          <w:rFonts w:ascii="Times New Roman" w:hAnsi="Times New Roman" w:cs="Times New Roman"/>
          <w:sz w:val="24"/>
          <w:szCs w:val="24"/>
          <w:lang w:eastAsia="en-GB"/>
        </w:rPr>
        <w:t xml:space="preserve">pour la réalisation de la mission </w:t>
      </w:r>
      <w:r w:rsidR="00414752" w:rsidRPr="00414752">
        <w:rPr>
          <w:rFonts w:asciiTheme="majorHAnsi" w:hAnsiTheme="majorHAnsi" w:cs="Times New Roman"/>
          <w:sz w:val="24"/>
          <w:szCs w:val="24"/>
        </w:rPr>
        <w:t>dans les meilleures conditions et délais.</w:t>
      </w:r>
    </w:p>
    <w:p w14:paraId="35F4E5AF" w14:textId="56908771" w:rsidR="00F84677" w:rsidRPr="006C6E7E" w:rsidRDefault="00F84677" w:rsidP="00414752">
      <w:pPr>
        <w:pStyle w:val="ListParagraph"/>
        <w:spacing w:after="160"/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F84677" w:rsidRPr="006C6E7E" w:rsidSect="00236C47">
      <w:footerReference w:type="default" r:id="rId12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08CEA" w14:textId="77777777" w:rsidR="00AE2A66" w:rsidRDefault="00AE2A66" w:rsidP="00F605F5">
      <w:pPr>
        <w:spacing w:after="0"/>
      </w:pPr>
      <w:r>
        <w:separator/>
      </w:r>
    </w:p>
  </w:endnote>
  <w:endnote w:type="continuationSeparator" w:id="0">
    <w:p w14:paraId="70F36BFC" w14:textId="77777777" w:rsidR="00AE2A66" w:rsidRDefault="00AE2A66" w:rsidP="00F605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682569"/>
      <w:docPartObj>
        <w:docPartGallery w:val="Page Numbers (Bottom of Page)"/>
        <w:docPartUnique/>
      </w:docPartObj>
    </w:sdtPr>
    <w:sdtEndPr/>
    <w:sdtContent>
      <w:p w14:paraId="2AAD8FB8" w14:textId="0DB86209" w:rsidR="00EA6B23" w:rsidRDefault="0030077F">
        <w:pPr>
          <w:pStyle w:val="Footer"/>
          <w:jc w:val="right"/>
        </w:pPr>
        <w:r>
          <w:fldChar w:fldCharType="begin"/>
        </w:r>
        <w:r w:rsidR="00EA6B23">
          <w:instrText>PAGE   \* MERGEFORMAT</w:instrText>
        </w:r>
        <w:r>
          <w:fldChar w:fldCharType="separate"/>
        </w:r>
        <w:r w:rsidR="00AE2A66">
          <w:rPr>
            <w:noProof/>
          </w:rPr>
          <w:t>1</w:t>
        </w:r>
        <w:r>
          <w:fldChar w:fldCharType="end"/>
        </w:r>
      </w:p>
    </w:sdtContent>
  </w:sdt>
  <w:p w14:paraId="5F6F4A40" w14:textId="77777777" w:rsidR="00EA6B23" w:rsidRDefault="00EA6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3647" w14:textId="77777777" w:rsidR="00AE2A66" w:rsidRDefault="00AE2A66" w:rsidP="00F605F5">
      <w:pPr>
        <w:spacing w:after="0"/>
      </w:pPr>
      <w:r>
        <w:separator/>
      </w:r>
    </w:p>
  </w:footnote>
  <w:footnote w:type="continuationSeparator" w:id="0">
    <w:p w14:paraId="6DD66D36" w14:textId="77777777" w:rsidR="00AE2A66" w:rsidRDefault="00AE2A66" w:rsidP="00F605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30D3"/>
    <w:multiLevelType w:val="hybridMultilevel"/>
    <w:tmpl w:val="AB8E01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25D"/>
    <w:multiLevelType w:val="hybridMultilevel"/>
    <w:tmpl w:val="3BEC19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61D"/>
    <w:multiLevelType w:val="hybridMultilevel"/>
    <w:tmpl w:val="374242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4D26"/>
    <w:multiLevelType w:val="hybridMultilevel"/>
    <w:tmpl w:val="D520B2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20C"/>
    <w:multiLevelType w:val="hybridMultilevel"/>
    <w:tmpl w:val="D3865F7C"/>
    <w:lvl w:ilvl="0" w:tplc="D19A8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3A66"/>
    <w:multiLevelType w:val="hybridMultilevel"/>
    <w:tmpl w:val="923C6BF4"/>
    <w:lvl w:ilvl="0" w:tplc="278ED7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716"/>
    <w:multiLevelType w:val="hybridMultilevel"/>
    <w:tmpl w:val="410A6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7532E"/>
    <w:multiLevelType w:val="hybridMultilevel"/>
    <w:tmpl w:val="946ECE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76219"/>
    <w:multiLevelType w:val="hybridMultilevel"/>
    <w:tmpl w:val="6872462C"/>
    <w:lvl w:ilvl="0" w:tplc="51EC2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31622"/>
    <w:multiLevelType w:val="hybridMultilevel"/>
    <w:tmpl w:val="D30853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4A6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B5260"/>
    <w:multiLevelType w:val="hybridMultilevel"/>
    <w:tmpl w:val="C256F2E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7A63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fr-FR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C25B5"/>
    <w:multiLevelType w:val="hybridMultilevel"/>
    <w:tmpl w:val="CC92BAA0"/>
    <w:lvl w:ilvl="0" w:tplc="DF4CE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10895"/>
    <w:multiLevelType w:val="hybridMultilevel"/>
    <w:tmpl w:val="236E97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BB2B70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CF57C7"/>
    <w:multiLevelType w:val="hybridMultilevel"/>
    <w:tmpl w:val="743EFD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D44B6"/>
    <w:multiLevelType w:val="hybridMultilevel"/>
    <w:tmpl w:val="BD82DDFC"/>
    <w:lvl w:ilvl="0" w:tplc="51EC2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611D"/>
    <w:multiLevelType w:val="hybridMultilevel"/>
    <w:tmpl w:val="2FE49D7E"/>
    <w:lvl w:ilvl="0" w:tplc="77D49B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5713549"/>
    <w:multiLevelType w:val="hybridMultilevel"/>
    <w:tmpl w:val="D884D8F6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5F17FD8"/>
    <w:multiLevelType w:val="hybridMultilevel"/>
    <w:tmpl w:val="D64EF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F7005"/>
    <w:multiLevelType w:val="hybridMultilevel"/>
    <w:tmpl w:val="8CAE715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BB2B70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F26BBF"/>
    <w:multiLevelType w:val="hybridMultilevel"/>
    <w:tmpl w:val="D49AB5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4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7"/>
  </w:num>
  <w:num w:numId="13">
    <w:abstractNumId w:val="2"/>
  </w:num>
  <w:num w:numId="14">
    <w:abstractNumId w:val="1"/>
  </w:num>
  <w:num w:numId="15">
    <w:abstractNumId w:val="19"/>
  </w:num>
  <w:num w:numId="16">
    <w:abstractNumId w:val="11"/>
  </w:num>
  <w:num w:numId="17">
    <w:abstractNumId w:val="0"/>
  </w:num>
  <w:num w:numId="18">
    <w:abstractNumId w:val="18"/>
  </w:num>
  <w:num w:numId="19">
    <w:abstractNumId w:val="1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48"/>
    <w:rsid w:val="0001688D"/>
    <w:rsid w:val="00034094"/>
    <w:rsid w:val="00041BC5"/>
    <w:rsid w:val="000540AE"/>
    <w:rsid w:val="0008699F"/>
    <w:rsid w:val="000A24F2"/>
    <w:rsid w:val="000B5ABD"/>
    <w:rsid w:val="000C21F6"/>
    <w:rsid w:val="000D7541"/>
    <w:rsid w:val="000F537E"/>
    <w:rsid w:val="000F5DE6"/>
    <w:rsid w:val="00122A07"/>
    <w:rsid w:val="0013572A"/>
    <w:rsid w:val="00136296"/>
    <w:rsid w:val="00137228"/>
    <w:rsid w:val="00137ADB"/>
    <w:rsid w:val="001531E5"/>
    <w:rsid w:val="001673B3"/>
    <w:rsid w:val="001B5C87"/>
    <w:rsid w:val="001B7BEA"/>
    <w:rsid w:val="00217E53"/>
    <w:rsid w:val="002211FE"/>
    <w:rsid w:val="00236C47"/>
    <w:rsid w:val="002413C5"/>
    <w:rsid w:val="00250B63"/>
    <w:rsid w:val="002574E7"/>
    <w:rsid w:val="002615FF"/>
    <w:rsid w:val="0026368B"/>
    <w:rsid w:val="0026755C"/>
    <w:rsid w:val="002819EC"/>
    <w:rsid w:val="002957DF"/>
    <w:rsid w:val="002D78D1"/>
    <w:rsid w:val="002F09E5"/>
    <w:rsid w:val="0030077F"/>
    <w:rsid w:val="00305D28"/>
    <w:rsid w:val="00310AF0"/>
    <w:rsid w:val="00330925"/>
    <w:rsid w:val="0034657E"/>
    <w:rsid w:val="00376F28"/>
    <w:rsid w:val="003C3F04"/>
    <w:rsid w:val="003C7DCB"/>
    <w:rsid w:val="003E4A36"/>
    <w:rsid w:val="003F0B56"/>
    <w:rsid w:val="003F64B1"/>
    <w:rsid w:val="004049DD"/>
    <w:rsid w:val="00406B77"/>
    <w:rsid w:val="00412E5B"/>
    <w:rsid w:val="00414752"/>
    <w:rsid w:val="004204D6"/>
    <w:rsid w:val="004266E8"/>
    <w:rsid w:val="00437BC3"/>
    <w:rsid w:val="0046012E"/>
    <w:rsid w:val="004A1F36"/>
    <w:rsid w:val="004D6C94"/>
    <w:rsid w:val="004E04DA"/>
    <w:rsid w:val="00527DB9"/>
    <w:rsid w:val="005520BA"/>
    <w:rsid w:val="00564EFD"/>
    <w:rsid w:val="005867B2"/>
    <w:rsid w:val="00587C93"/>
    <w:rsid w:val="00592A4C"/>
    <w:rsid w:val="005A20B7"/>
    <w:rsid w:val="005A66A6"/>
    <w:rsid w:val="005B6F60"/>
    <w:rsid w:val="005C054C"/>
    <w:rsid w:val="005C495A"/>
    <w:rsid w:val="005D4FC1"/>
    <w:rsid w:val="005D7388"/>
    <w:rsid w:val="005E1126"/>
    <w:rsid w:val="005E40EB"/>
    <w:rsid w:val="00602ACC"/>
    <w:rsid w:val="006475FC"/>
    <w:rsid w:val="00647730"/>
    <w:rsid w:val="0067394B"/>
    <w:rsid w:val="00683A98"/>
    <w:rsid w:val="006958F9"/>
    <w:rsid w:val="006C4E4B"/>
    <w:rsid w:val="006C6E7E"/>
    <w:rsid w:val="006E64BF"/>
    <w:rsid w:val="006F1FB2"/>
    <w:rsid w:val="0073297F"/>
    <w:rsid w:val="007645AD"/>
    <w:rsid w:val="007739C5"/>
    <w:rsid w:val="007B3353"/>
    <w:rsid w:val="007C24A1"/>
    <w:rsid w:val="007C5862"/>
    <w:rsid w:val="007D399D"/>
    <w:rsid w:val="00805EF0"/>
    <w:rsid w:val="00827C39"/>
    <w:rsid w:val="00840BE9"/>
    <w:rsid w:val="00854452"/>
    <w:rsid w:val="008555A0"/>
    <w:rsid w:val="00870C80"/>
    <w:rsid w:val="00893264"/>
    <w:rsid w:val="008F438C"/>
    <w:rsid w:val="00931338"/>
    <w:rsid w:val="0094291D"/>
    <w:rsid w:val="00966507"/>
    <w:rsid w:val="00977250"/>
    <w:rsid w:val="00983DC3"/>
    <w:rsid w:val="0099205F"/>
    <w:rsid w:val="009A1C71"/>
    <w:rsid w:val="009A2991"/>
    <w:rsid w:val="009A2C6B"/>
    <w:rsid w:val="009D64F5"/>
    <w:rsid w:val="009D7522"/>
    <w:rsid w:val="00A12B7D"/>
    <w:rsid w:val="00A30A69"/>
    <w:rsid w:val="00A37B7D"/>
    <w:rsid w:val="00A41149"/>
    <w:rsid w:val="00A42595"/>
    <w:rsid w:val="00A51B57"/>
    <w:rsid w:val="00A6224D"/>
    <w:rsid w:val="00A80E48"/>
    <w:rsid w:val="00AC2B14"/>
    <w:rsid w:val="00AD386F"/>
    <w:rsid w:val="00AD75A5"/>
    <w:rsid w:val="00AE2A66"/>
    <w:rsid w:val="00AF1EE1"/>
    <w:rsid w:val="00B02A91"/>
    <w:rsid w:val="00B0617A"/>
    <w:rsid w:val="00B13EEF"/>
    <w:rsid w:val="00B25CD7"/>
    <w:rsid w:val="00B349F4"/>
    <w:rsid w:val="00B41689"/>
    <w:rsid w:val="00B75768"/>
    <w:rsid w:val="00B851C5"/>
    <w:rsid w:val="00BA0D60"/>
    <w:rsid w:val="00BB35D8"/>
    <w:rsid w:val="00BD7DE7"/>
    <w:rsid w:val="00BE4E2E"/>
    <w:rsid w:val="00BF0086"/>
    <w:rsid w:val="00C21766"/>
    <w:rsid w:val="00C25A5D"/>
    <w:rsid w:val="00C52F36"/>
    <w:rsid w:val="00C541C4"/>
    <w:rsid w:val="00C55172"/>
    <w:rsid w:val="00C6502A"/>
    <w:rsid w:val="00C65236"/>
    <w:rsid w:val="00C84915"/>
    <w:rsid w:val="00C90065"/>
    <w:rsid w:val="00CA6E55"/>
    <w:rsid w:val="00CC543E"/>
    <w:rsid w:val="00CD35D2"/>
    <w:rsid w:val="00CD74E6"/>
    <w:rsid w:val="00D50CBC"/>
    <w:rsid w:val="00D52BB1"/>
    <w:rsid w:val="00D66566"/>
    <w:rsid w:val="00D806AF"/>
    <w:rsid w:val="00D81485"/>
    <w:rsid w:val="00DB24BC"/>
    <w:rsid w:val="00DF2162"/>
    <w:rsid w:val="00E44E2C"/>
    <w:rsid w:val="00E45C38"/>
    <w:rsid w:val="00E50045"/>
    <w:rsid w:val="00E64E1E"/>
    <w:rsid w:val="00E93974"/>
    <w:rsid w:val="00E95D47"/>
    <w:rsid w:val="00EA6B23"/>
    <w:rsid w:val="00EB50B5"/>
    <w:rsid w:val="00EC6F64"/>
    <w:rsid w:val="00EE1B74"/>
    <w:rsid w:val="00EE2995"/>
    <w:rsid w:val="00EE545B"/>
    <w:rsid w:val="00F040CC"/>
    <w:rsid w:val="00F118AB"/>
    <w:rsid w:val="00F17D6A"/>
    <w:rsid w:val="00F3494A"/>
    <w:rsid w:val="00F605F5"/>
    <w:rsid w:val="00F84677"/>
    <w:rsid w:val="00F85603"/>
    <w:rsid w:val="00F86C38"/>
    <w:rsid w:val="00FB16CE"/>
    <w:rsid w:val="00FF3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3A0A"/>
  <w15:docId w15:val="{5F2F4090-08AB-4DBE-9A4E-0CA5A0F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48"/>
    <w:pPr>
      <w:tabs>
        <w:tab w:val="left" w:pos="2161"/>
      </w:tabs>
      <w:spacing w:after="240" w:line="240" w:lineRule="auto"/>
      <w:jc w:val="both"/>
    </w:pPr>
    <w:rPr>
      <w:rFonts w:ascii="Arial" w:eastAsia="Times New Roman" w:hAnsi="Arial" w:cs="Arial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47730"/>
    <w:pPr>
      <w:tabs>
        <w:tab w:val="clear" w:pos="2161"/>
      </w:tabs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84677"/>
    <w:pPr>
      <w:tabs>
        <w:tab w:val="clear" w:pos="2161"/>
        <w:tab w:val="left" w:pos="900"/>
        <w:tab w:val="right" w:leader="dot" w:pos="9000"/>
      </w:tabs>
      <w:spacing w:before="120"/>
      <w:ind w:left="900" w:right="720" w:hanging="900"/>
      <w:jc w:val="left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605F5"/>
    <w:pPr>
      <w:tabs>
        <w:tab w:val="clear" w:pos="2161"/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05F5"/>
    <w:rPr>
      <w:rFonts w:ascii="Arial" w:eastAsia="Times New Roman" w:hAnsi="Arial" w:cs="Arial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605F5"/>
    <w:pPr>
      <w:tabs>
        <w:tab w:val="clear" w:pos="2161"/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05F5"/>
    <w:rPr>
      <w:rFonts w:ascii="Arial" w:eastAsia="Times New Roman" w:hAnsi="Arial" w:cs="Arial"/>
      <w:lang w:eastAsia="de-DE"/>
    </w:rPr>
  </w:style>
  <w:style w:type="paragraph" w:styleId="NormalWeb">
    <w:name w:val="Normal (Web)"/>
    <w:basedOn w:val="Normal"/>
    <w:uiPriority w:val="99"/>
    <w:unhideWhenUsed/>
    <w:rsid w:val="00647730"/>
    <w:pPr>
      <w:tabs>
        <w:tab w:val="clear" w:pos="2161"/>
      </w:tabs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6477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ListParagraph">
    <w:name w:val="List Paragraph"/>
    <w:aliases w:val="MCHIP_list paragraph,List Paragraph1,Recommendation,List Paragraph (numbered (a)),Dot pt,F5 List Paragraph,No Spacing1,List Paragraph Char Char Char,Indicator Text,Numbered Para 1,MAIN CONTENT,Colorful List - Accent 11,Bullet 1,Bulle"/>
    <w:basedOn w:val="Normal"/>
    <w:link w:val="ListParagraphChar"/>
    <w:uiPriority w:val="34"/>
    <w:qFormat/>
    <w:rsid w:val="0008699F"/>
    <w:pPr>
      <w:ind w:left="720"/>
      <w:contextualSpacing/>
    </w:pPr>
  </w:style>
  <w:style w:type="table" w:styleId="TableGrid">
    <w:name w:val="Table Grid"/>
    <w:basedOn w:val="TableNormal"/>
    <w:uiPriority w:val="59"/>
    <w:rsid w:val="004D6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9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D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longtext">
    <w:name w:val="long_text"/>
    <w:basedOn w:val="DefaultParagraphFont"/>
    <w:rsid w:val="006E64BF"/>
  </w:style>
  <w:style w:type="table" w:customStyle="1" w:styleId="Listemoyenne11">
    <w:name w:val="Liste moyenne 11"/>
    <w:basedOn w:val="TableNormal"/>
    <w:uiPriority w:val="65"/>
    <w:rsid w:val="00602A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Grillecouleur1">
    <w:name w:val="Grille couleur1"/>
    <w:basedOn w:val="TableNormal"/>
    <w:uiPriority w:val="73"/>
    <w:rsid w:val="00602A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stemoyenne21">
    <w:name w:val="Liste moyenne 21"/>
    <w:basedOn w:val="TableNormal"/>
    <w:uiPriority w:val="66"/>
    <w:rsid w:val="00602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Normal"/>
    <w:uiPriority w:val="62"/>
    <w:rsid w:val="00602A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602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41BC5"/>
    <w:pPr>
      <w:tabs>
        <w:tab w:val="clear" w:pos="2161"/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41BC5"/>
    <w:pPr>
      <w:tabs>
        <w:tab w:val="clear" w:pos="2161"/>
      </w:tabs>
      <w:spacing w:after="0"/>
      <w:jc w:val="left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1BC5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41BC5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Normal"/>
    <w:uiPriority w:val="60"/>
    <w:rsid w:val="00041BC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20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odyText">
    <w:name w:val="Body Text"/>
    <w:basedOn w:val="Normal"/>
    <w:link w:val="BodyTextChar"/>
    <w:rsid w:val="002957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57DF"/>
    <w:rPr>
      <w:rFonts w:ascii="Arial" w:eastAsia="Times New Roman" w:hAnsi="Arial" w:cs="Arial"/>
      <w:lang w:eastAsia="de-DE"/>
    </w:rPr>
  </w:style>
  <w:style w:type="character" w:styleId="CommentReference">
    <w:name w:val="annotation reference"/>
    <w:rsid w:val="002957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7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57DF"/>
    <w:rPr>
      <w:rFonts w:ascii="Arial" w:eastAsia="Times New Roman" w:hAnsi="Arial" w:cs="Arial"/>
      <w:sz w:val="20"/>
      <w:lang w:eastAsia="de-DE"/>
    </w:rPr>
  </w:style>
  <w:style w:type="table" w:customStyle="1" w:styleId="GIZTabelle16">
    <w:name w:val="GIZ Tabelle16"/>
    <w:basedOn w:val="TableNormal"/>
    <w:uiPriority w:val="99"/>
    <w:rsid w:val="0099205F"/>
    <w:pPr>
      <w:spacing w:before="40" w:after="40" w:line="280" w:lineRule="atLeast"/>
      <w:ind w:left="85" w:right="57"/>
    </w:pPr>
    <w:rPr>
      <w:rFonts w:ascii="Calibri" w:eastAsia="Calibri" w:hAnsi="Calibri" w:cs="Arial"/>
      <w:sz w:val="20"/>
      <w:szCs w:val="20"/>
      <w:lang w:val="de-DE"/>
    </w:rPr>
    <w:tblPr>
      <w:tblBorders>
        <w:bottom w:val="single" w:sz="6" w:space="0" w:color="E6E6E6"/>
        <w:insideH w:val="single" w:sz="6" w:space="0" w:color="E6E6E6"/>
        <w:insideV w:val="single" w:sz="6" w:space="0" w:color="E6E6E6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/>
          <w:tl2br w:val="nil"/>
          <w:tr2bl w:val="nil"/>
        </w:tcBorders>
        <w:shd w:val="clear" w:color="auto" w:fill="E6E6E6"/>
      </w:tcPr>
    </w:tblStylePr>
    <w:tblStylePr w:type="firstCol">
      <w:rPr>
        <w:b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05D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FootnoteReference">
    <w:name w:val="footnote reference"/>
    <w:uiPriority w:val="99"/>
    <w:rsid w:val="00305D28"/>
    <w:rPr>
      <w:vertAlign w:val="superscript"/>
    </w:rPr>
  </w:style>
  <w:style w:type="character" w:customStyle="1" w:styleId="ListParagraphChar">
    <w:name w:val="List Paragraph Char"/>
    <w:aliases w:val="MCHIP_list paragraph Char,List Paragraph1 Char,Recommendation Char,List Paragraph (numbered (a)) Char,Dot pt Char,F5 List Paragraph Char,No Spacing1 Char,List Paragraph Char Char Char Char,Indicator Text Char,Numbered Para 1 Char"/>
    <w:basedOn w:val="DefaultParagraphFont"/>
    <w:link w:val="ListParagraph"/>
    <w:uiPriority w:val="34"/>
    <w:rsid w:val="00AD75A5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bc20b48e9e886fe4ea6cf6414cceb08c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d3b842858161c3f2c06077b0edcf9b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BDC0-A15E-4F36-8565-A3DF2462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81D70-8740-4A20-88FC-C07692661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75B5-3E0D-4B06-84EC-A907B8B2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AFD3A5-6F97-49C4-97CB-FA69F41B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5367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Olfa Challouf_DGSSP</dc:creator>
  <cp:lastModifiedBy>Kaouther Bizani</cp:lastModifiedBy>
  <cp:revision>2</cp:revision>
  <dcterms:created xsi:type="dcterms:W3CDTF">2022-08-04T12:00:00Z</dcterms:created>
  <dcterms:modified xsi:type="dcterms:W3CDTF">2022-08-04T12:00:00Z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