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2E9D" w14:textId="2A4DC419" w:rsidR="004601C5" w:rsidRDefault="004601C5" w:rsidP="004601C5">
      <w:pPr>
        <w:spacing w:after="0" w:line="240" w:lineRule="auto"/>
        <w:jc w:val="center"/>
        <w:rPr>
          <w:rFonts w:ascii="Arial" w:hAnsi="Arial" w:cs="Arial"/>
          <w:color w:val="444444"/>
          <w:sz w:val="23"/>
          <w:szCs w:val="23"/>
          <w:lang w:val="en-GB" w:eastAsia="en-GB"/>
        </w:rPr>
      </w:pPr>
      <w:r>
        <w:rPr>
          <w:noProof/>
          <w:sz w:val="30"/>
          <w:szCs w:val="30"/>
          <w:lang w:val="en-GB" w:eastAsia="en-GB"/>
        </w:rPr>
        <w:drawing>
          <wp:inline distT="0" distB="0" distL="0" distR="0" wp14:anchorId="0456992E" wp14:editId="243BEF08">
            <wp:extent cx="3816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6350" cy="647700"/>
                    </a:xfrm>
                    <a:prstGeom prst="rect">
                      <a:avLst/>
                    </a:prstGeom>
                    <a:noFill/>
                    <a:ln>
                      <a:noFill/>
                    </a:ln>
                  </pic:spPr>
                </pic:pic>
              </a:graphicData>
            </a:graphic>
          </wp:inline>
        </w:drawing>
      </w:r>
    </w:p>
    <w:p w14:paraId="57EBF9A7" w14:textId="77777777" w:rsidR="004601C5" w:rsidRDefault="004601C5" w:rsidP="004601C5">
      <w:pPr>
        <w:spacing w:after="0" w:line="240" w:lineRule="auto"/>
        <w:rPr>
          <w:rFonts w:ascii="Arial" w:hAnsi="Arial" w:cs="Arial"/>
          <w:b/>
          <w:bCs/>
          <w:color w:val="444444"/>
          <w:sz w:val="40"/>
          <w:szCs w:val="40"/>
          <w:lang w:val="en-GB" w:eastAsia="en-GB"/>
        </w:rPr>
      </w:pPr>
    </w:p>
    <w:p w14:paraId="12D5537D" w14:textId="77777777" w:rsidR="004601C5" w:rsidRDefault="004601C5" w:rsidP="004601C5">
      <w:pPr>
        <w:spacing w:after="0" w:line="240" w:lineRule="auto"/>
        <w:rPr>
          <w:rFonts w:ascii="Arial" w:hAnsi="Arial" w:cs="Arial"/>
          <w:b/>
          <w:bCs/>
          <w:color w:val="444444"/>
          <w:sz w:val="40"/>
          <w:szCs w:val="40"/>
          <w:lang w:val="en-GB" w:eastAsia="en-GB"/>
        </w:rPr>
      </w:pPr>
      <w:r>
        <w:rPr>
          <w:rFonts w:ascii="Arial" w:hAnsi="Arial" w:cs="Arial"/>
          <w:b/>
          <w:bCs/>
          <w:color w:val="444444"/>
          <w:sz w:val="40"/>
          <w:szCs w:val="40"/>
          <w:lang w:val="en-GB" w:eastAsia="en-GB"/>
        </w:rPr>
        <w:t xml:space="preserve">Tunisia’s human rights record to be examined by </w:t>
      </w:r>
      <w:bookmarkStart w:id="0" w:name="_GoBack"/>
      <w:r>
        <w:rPr>
          <w:rFonts w:ascii="Arial" w:hAnsi="Arial" w:cs="Arial"/>
          <w:b/>
          <w:bCs/>
          <w:color w:val="444444"/>
          <w:sz w:val="40"/>
          <w:szCs w:val="40"/>
          <w:lang w:val="en-GB" w:eastAsia="en-GB"/>
        </w:rPr>
        <w:t>Universal Periodic Review</w:t>
      </w:r>
    </w:p>
    <w:bookmarkEnd w:id="0"/>
    <w:p w14:paraId="1CF09165" w14:textId="77777777" w:rsidR="004601C5" w:rsidRDefault="004601C5" w:rsidP="004601C5">
      <w:pPr>
        <w:spacing w:after="0" w:line="240" w:lineRule="auto"/>
        <w:rPr>
          <w:rFonts w:ascii="Arial" w:hAnsi="Arial" w:cs="Arial"/>
          <w:b/>
          <w:bCs/>
          <w:color w:val="444444"/>
          <w:sz w:val="40"/>
          <w:szCs w:val="40"/>
          <w:lang w:val="en-GB" w:eastAsia="en-GB"/>
        </w:rPr>
      </w:pPr>
    </w:p>
    <w:p w14:paraId="54067EE5"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b/>
          <w:bCs/>
          <w:color w:val="444444"/>
          <w:sz w:val="23"/>
          <w:szCs w:val="23"/>
          <w:lang w:val="en-GB" w:eastAsia="en-GB"/>
        </w:rPr>
        <w:t>GENEVA (3 November 2022)</w:t>
      </w:r>
      <w:r>
        <w:rPr>
          <w:rFonts w:ascii="Arial" w:hAnsi="Arial" w:cs="Arial"/>
          <w:color w:val="444444"/>
          <w:sz w:val="23"/>
          <w:szCs w:val="23"/>
          <w:lang w:val="en-GB" w:eastAsia="en-GB"/>
        </w:rPr>
        <w:t> – Tunisia’s human rights record will be examined by the UN Human Rights Council’s Universal Periodic Review (UPR) Working Group for the fourth time on Tuesday, 8 November 2022 in a meeting that will be </w:t>
      </w:r>
      <w:hyperlink r:id="rId9" w:history="1">
        <w:r>
          <w:rPr>
            <w:rStyle w:val="Hyperlink"/>
            <w:rFonts w:ascii="Arial" w:hAnsi="Arial" w:cs="Arial"/>
            <w:sz w:val="23"/>
            <w:szCs w:val="23"/>
            <w:lang w:val="en-GB" w:eastAsia="en-GB"/>
          </w:rPr>
          <w:t>webcast live</w:t>
        </w:r>
      </w:hyperlink>
      <w:r>
        <w:rPr>
          <w:rFonts w:ascii="Arial" w:hAnsi="Arial" w:cs="Arial"/>
          <w:color w:val="444444"/>
          <w:sz w:val="23"/>
          <w:szCs w:val="23"/>
          <w:lang w:val="en-GB" w:eastAsia="en-GB"/>
        </w:rPr>
        <w:t>.  </w:t>
      </w:r>
    </w:p>
    <w:p w14:paraId="442FB4DE"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Tunisia is one of the States to be reviewed by the UPR Working Group during its 41</w:t>
      </w:r>
      <w:r>
        <w:rPr>
          <w:rFonts w:ascii="Arial" w:hAnsi="Arial" w:cs="Arial"/>
          <w:color w:val="444444"/>
          <w:sz w:val="23"/>
          <w:szCs w:val="23"/>
          <w:vertAlign w:val="superscript"/>
          <w:lang w:val="en-GB" w:eastAsia="en-GB"/>
        </w:rPr>
        <w:t>st</w:t>
      </w:r>
      <w:r>
        <w:rPr>
          <w:rFonts w:ascii="Arial" w:hAnsi="Arial" w:cs="Arial"/>
          <w:color w:val="444444"/>
          <w:sz w:val="23"/>
          <w:szCs w:val="23"/>
          <w:lang w:val="en-GB" w:eastAsia="en-GB"/>
        </w:rPr>
        <w:t xml:space="preserve"> session taking place from 7 to 18 November, which marks the beginning of the UPR fourth cycle. Tunisia’s </w:t>
      </w:r>
      <w:hyperlink r:id="rId10" w:history="1">
        <w:r>
          <w:rPr>
            <w:rStyle w:val="Hyperlink"/>
            <w:rFonts w:ascii="Arial" w:hAnsi="Arial" w:cs="Arial"/>
            <w:sz w:val="23"/>
            <w:szCs w:val="23"/>
            <w:lang w:val="en-GB" w:eastAsia="en-GB"/>
          </w:rPr>
          <w:t>first, second, and third UPR reviews</w:t>
        </w:r>
      </w:hyperlink>
      <w:r>
        <w:rPr>
          <w:rFonts w:ascii="Arial" w:hAnsi="Arial" w:cs="Arial"/>
          <w:color w:val="444444"/>
          <w:sz w:val="23"/>
          <w:szCs w:val="23"/>
          <w:lang w:val="en-GB" w:eastAsia="en-GB"/>
        </w:rPr>
        <w:t> took place in April 2008, May 2012, and May 2017, respectively.</w:t>
      </w:r>
    </w:p>
    <w:p w14:paraId="617BBDC5"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documents on which the reviews are based are: 1) national report - information provided by the State under review; 2) information contained in the reports of independent human rights experts and groups, known as the Special Procedures, human rights treaty bodies, and other UN entities; 3) information provided by other stakeholders including national human rights institutions, regional organizations and civil society groups.  </w:t>
      </w:r>
    </w:p>
    <w:p w14:paraId="2CC6BE62"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three </w:t>
      </w:r>
      <w:r>
        <w:rPr>
          <w:rFonts w:ascii="Arial" w:hAnsi="Arial" w:cs="Arial"/>
          <w:b/>
          <w:bCs/>
          <w:color w:val="444444"/>
          <w:sz w:val="23"/>
          <w:szCs w:val="23"/>
          <w:lang w:val="en-GB" w:eastAsia="en-GB"/>
        </w:rPr>
        <w:t>reports</w:t>
      </w:r>
      <w:r>
        <w:rPr>
          <w:rFonts w:ascii="Arial" w:hAnsi="Arial" w:cs="Arial"/>
          <w:color w:val="444444"/>
          <w:sz w:val="23"/>
          <w:szCs w:val="23"/>
          <w:lang w:val="en-GB" w:eastAsia="en-GB"/>
        </w:rPr>
        <w:t> serving as the basis for the review of Tunisia on 8 November can be found </w:t>
      </w:r>
      <w:hyperlink r:id="rId11" w:history="1">
        <w:r>
          <w:rPr>
            <w:rStyle w:val="Hyperlink"/>
            <w:rFonts w:ascii="Arial" w:hAnsi="Arial" w:cs="Arial"/>
            <w:sz w:val="23"/>
            <w:szCs w:val="23"/>
            <w:lang w:val="en-GB" w:eastAsia="en-GB"/>
          </w:rPr>
          <w:t>here</w:t>
        </w:r>
      </w:hyperlink>
      <w:r>
        <w:rPr>
          <w:rFonts w:ascii="Arial" w:hAnsi="Arial" w:cs="Arial"/>
          <w:color w:val="444444"/>
          <w:sz w:val="23"/>
          <w:szCs w:val="23"/>
          <w:lang w:val="en-GB" w:eastAsia="en-GB"/>
        </w:rPr>
        <w:t>.</w:t>
      </w:r>
    </w:p>
    <w:p w14:paraId="2DAC0066"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b/>
          <w:bCs/>
          <w:color w:val="444444"/>
          <w:sz w:val="23"/>
          <w:szCs w:val="23"/>
          <w:lang w:val="en-GB" w:eastAsia="en-GB"/>
        </w:rPr>
        <w:t>Location</w:t>
      </w:r>
      <w:r>
        <w:rPr>
          <w:rFonts w:ascii="Arial" w:hAnsi="Arial" w:cs="Arial"/>
          <w:color w:val="444444"/>
          <w:sz w:val="23"/>
          <w:szCs w:val="23"/>
          <w:lang w:val="en-GB" w:eastAsia="en-GB"/>
        </w:rPr>
        <w:t>: Room 20, Palais des Nations, Geneva</w:t>
      </w:r>
    </w:p>
    <w:p w14:paraId="76B69CEF"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b/>
          <w:bCs/>
          <w:color w:val="444444"/>
          <w:sz w:val="23"/>
          <w:szCs w:val="23"/>
          <w:lang w:val="en-GB" w:eastAsia="en-GB"/>
        </w:rPr>
        <w:t>Time and date</w:t>
      </w:r>
      <w:r>
        <w:rPr>
          <w:rFonts w:ascii="Arial" w:hAnsi="Arial" w:cs="Arial"/>
          <w:color w:val="444444"/>
          <w:sz w:val="23"/>
          <w:szCs w:val="23"/>
          <w:lang w:val="en-GB" w:eastAsia="en-GB"/>
        </w:rPr>
        <w:t>: 9.00 – 12.30, Tuesday, 8 November 2022 (Geneva time, GMT +1 hour)  </w:t>
      </w:r>
    </w:p>
    <w:p w14:paraId="233A1FDD"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UPR is a unique process which involves a periodic review of the human rights records of all 193 UN Member States.  Since its first meeting was held in April 2008, all 193 UN member States have been reviewed three times within the first, second, and third UPR cycles.  During the fourth UPR cycle, states are again expected to spell out steps they have taken to implement recommendations posed during their previous reviews which they committed to follow-up on, as well as to highlight recent human rights developments in the country.  </w:t>
      </w:r>
    </w:p>
    <w:p w14:paraId="7DB00819"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three country representatives serving as rapporteurs (“troika”) for the review of Tunisia are: Mauritania, China and the United States of America. </w:t>
      </w:r>
    </w:p>
    <w:p w14:paraId="0A2107C9"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w:t>
      </w:r>
      <w:r>
        <w:rPr>
          <w:rFonts w:ascii="Arial" w:hAnsi="Arial" w:cs="Arial"/>
          <w:b/>
          <w:bCs/>
          <w:color w:val="444444"/>
          <w:sz w:val="23"/>
          <w:szCs w:val="23"/>
          <w:lang w:val="en-GB" w:eastAsia="en-GB"/>
        </w:rPr>
        <w:t>webcast</w:t>
      </w:r>
      <w:r>
        <w:rPr>
          <w:rFonts w:ascii="Arial" w:hAnsi="Arial" w:cs="Arial"/>
          <w:color w:val="444444"/>
          <w:sz w:val="23"/>
          <w:szCs w:val="23"/>
          <w:lang w:val="en-GB" w:eastAsia="en-GB"/>
        </w:rPr>
        <w:t> of the session will be at </w:t>
      </w:r>
      <w:hyperlink r:id="rId12" w:history="1">
        <w:r>
          <w:rPr>
            <w:rStyle w:val="Hyperlink"/>
            <w:rFonts w:ascii="Arial" w:hAnsi="Arial" w:cs="Arial"/>
            <w:sz w:val="23"/>
            <w:szCs w:val="23"/>
            <w:lang w:val="en-GB" w:eastAsia="en-GB"/>
          </w:rPr>
          <w:t>http://webtv.un.org</w:t>
        </w:r>
      </w:hyperlink>
      <w:r>
        <w:rPr>
          <w:rFonts w:ascii="Arial" w:hAnsi="Arial" w:cs="Arial"/>
          <w:color w:val="444444"/>
          <w:sz w:val="23"/>
          <w:szCs w:val="23"/>
          <w:lang w:val="en-GB" w:eastAsia="en-GB"/>
        </w:rPr>
        <w:t>  </w:t>
      </w:r>
    </w:p>
    <w:p w14:paraId="6269D486"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list of speakers and all available statements to be delivered during the review of Tunisia will be posted on the </w:t>
      </w:r>
      <w:hyperlink r:id="rId13" w:history="1">
        <w:r>
          <w:rPr>
            <w:rStyle w:val="Hyperlink"/>
            <w:rFonts w:ascii="Arial" w:hAnsi="Arial" w:cs="Arial"/>
            <w:sz w:val="23"/>
            <w:szCs w:val="23"/>
            <w:lang w:val="en-GB" w:eastAsia="en-GB"/>
          </w:rPr>
          <w:t>UPR Extranet</w:t>
        </w:r>
      </w:hyperlink>
      <w:r>
        <w:rPr>
          <w:rFonts w:ascii="Arial" w:hAnsi="Arial" w:cs="Arial"/>
          <w:color w:val="444444"/>
          <w:sz w:val="23"/>
          <w:szCs w:val="23"/>
          <w:lang w:val="en-GB" w:eastAsia="en-GB"/>
        </w:rPr>
        <w:t>.</w:t>
      </w:r>
    </w:p>
    <w:p w14:paraId="70145B4D"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The UPR Working Group is </w:t>
      </w:r>
      <w:r>
        <w:rPr>
          <w:rFonts w:ascii="Arial" w:hAnsi="Arial" w:cs="Arial"/>
          <w:b/>
          <w:bCs/>
          <w:color w:val="444444"/>
          <w:sz w:val="23"/>
          <w:szCs w:val="23"/>
          <w:lang w:val="en-GB" w:eastAsia="en-GB"/>
        </w:rPr>
        <w:t>scheduled to adopt the recommendations</w:t>
      </w:r>
      <w:r>
        <w:rPr>
          <w:rFonts w:ascii="Arial" w:hAnsi="Arial" w:cs="Arial"/>
          <w:color w:val="444444"/>
          <w:sz w:val="23"/>
          <w:szCs w:val="23"/>
          <w:lang w:val="en-GB" w:eastAsia="en-GB"/>
        </w:rPr>
        <w:t> made to Tunisia at 15.30 on 11 November.  The State under review may wish to express its positions on recommendations posed to it during their review.</w:t>
      </w:r>
    </w:p>
    <w:p w14:paraId="7F17F98B" w14:textId="77777777" w:rsidR="004601C5" w:rsidRDefault="004601C5" w:rsidP="004601C5">
      <w:pPr>
        <w:spacing w:after="0" w:line="240" w:lineRule="auto"/>
        <w:rPr>
          <w:rFonts w:ascii="Arial" w:hAnsi="Arial" w:cs="Arial"/>
          <w:color w:val="444444"/>
          <w:sz w:val="23"/>
          <w:szCs w:val="23"/>
          <w:lang w:val="en-GB" w:eastAsia="en-GB"/>
        </w:rPr>
      </w:pPr>
      <w:r>
        <w:rPr>
          <w:rFonts w:ascii="Arial" w:hAnsi="Arial" w:cs="Arial"/>
          <w:color w:val="444444"/>
          <w:sz w:val="23"/>
          <w:szCs w:val="23"/>
          <w:lang w:val="en-GB" w:eastAsia="en-GB"/>
        </w:rPr>
        <w:t>ENDS  </w:t>
      </w:r>
    </w:p>
    <w:p w14:paraId="3EBF534A" w14:textId="77777777" w:rsidR="004601C5" w:rsidRPr="004601C5" w:rsidRDefault="004601C5" w:rsidP="004601C5">
      <w:pPr>
        <w:spacing w:after="0" w:line="240" w:lineRule="auto"/>
        <w:rPr>
          <w:rFonts w:ascii="Arial" w:hAnsi="Arial" w:cs="Arial"/>
          <w:i/>
          <w:iCs/>
          <w:color w:val="444444"/>
          <w:sz w:val="20"/>
          <w:szCs w:val="20"/>
          <w:lang w:val="en-GB" w:eastAsia="en-GB"/>
        </w:rPr>
      </w:pPr>
      <w:r w:rsidRPr="004601C5">
        <w:rPr>
          <w:rFonts w:ascii="Arial" w:hAnsi="Arial" w:cs="Arial"/>
          <w:i/>
          <w:iCs/>
          <w:color w:val="444444"/>
          <w:sz w:val="20"/>
          <w:szCs w:val="20"/>
          <w:lang w:val="en-GB" w:eastAsia="en-GB"/>
        </w:rPr>
        <w:t>For more information and media requests, please contact Rolando Gómez, HRC Media Officer, at </w:t>
      </w:r>
      <w:hyperlink r:id="rId14" w:history="1">
        <w:r w:rsidRPr="004601C5">
          <w:rPr>
            <w:rStyle w:val="Hyperlink"/>
            <w:rFonts w:ascii="Arial" w:hAnsi="Arial" w:cs="Arial"/>
            <w:i/>
            <w:iCs/>
            <w:sz w:val="20"/>
            <w:szCs w:val="20"/>
            <w:lang w:val="en-GB" w:eastAsia="en-GB"/>
          </w:rPr>
          <w:t>rolando.gomez@un.org</w:t>
        </w:r>
      </w:hyperlink>
      <w:r w:rsidRPr="004601C5">
        <w:rPr>
          <w:rFonts w:ascii="Arial" w:hAnsi="Arial" w:cs="Arial"/>
          <w:i/>
          <w:iCs/>
          <w:color w:val="444444"/>
          <w:sz w:val="20"/>
          <w:szCs w:val="20"/>
          <w:lang w:val="en-GB" w:eastAsia="en-GB"/>
        </w:rPr>
        <w:t>, Matthew Brown, HRC Public Information Officer, at </w:t>
      </w:r>
      <w:hyperlink r:id="rId15" w:history="1">
        <w:r w:rsidRPr="004601C5">
          <w:rPr>
            <w:rStyle w:val="Hyperlink"/>
            <w:rFonts w:ascii="Arial" w:hAnsi="Arial" w:cs="Arial"/>
            <w:i/>
            <w:iCs/>
            <w:sz w:val="20"/>
            <w:szCs w:val="20"/>
            <w:lang w:val="en-GB" w:eastAsia="en-GB"/>
          </w:rPr>
          <w:t>matthew.brown@un.org</w:t>
        </w:r>
      </w:hyperlink>
      <w:r w:rsidRPr="004601C5">
        <w:rPr>
          <w:rFonts w:ascii="Arial" w:hAnsi="Arial" w:cs="Arial"/>
          <w:i/>
          <w:iCs/>
          <w:color w:val="444444"/>
          <w:sz w:val="20"/>
          <w:szCs w:val="20"/>
          <w:lang w:val="en-GB" w:eastAsia="en-GB"/>
        </w:rPr>
        <w:t>, or Pascal Sim, HRC Public Information Officer, at </w:t>
      </w:r>
      <w:hyperlink r:id="rId16" w:history="1">
        <w:r w:rsidRPr="004601C5">
          <w:rPr>
            <w:rStyle w:val="Hyperlink"/>
            <w:rFonts w:ascii="Arial" w:hAnsi="Arial" w:cs="Arial"/>
            <w:i/>
            <w:iCs/>
            <w:sz w:val="20"/>
            <w:szCs w:val="20"/>
            <w:lang w:val="en-GB" w:eastAsia="en-GB"/>
          </w:rPr>
          <w:t>simp@un.org</w:t>
        </w:r>
      </w:hyperlink>
      <w:r w:rsidRPr="004601C5">
        <w:rPr>
          <w:rFonts w:ascii="Arial" w:hAnsi="Arial" w:cs="Arial"/>
          <w:i/>
          <w:iCs/>
          <w:color w:val="444444"/>
          <w:sz w:val="20"/>
          <w:szCs w:val="20"/>
          <w:lang w:val="en-GB" w:eastAsia="en-GB"/>
        </w:rPr>
        <w:t>    </w:t>
      </w:r>
    </w:p>
    <w:p w14:paraId="73167913" w14:textId="77777777" w:rsidR="004601C5" w:rsidRPr="004601C5" w:rsidRDefault="004601C5" w:rsidP="004601C5">
      <w:pPr>
        <w:spacing w:after="0" w:line="240" w:lineRule="auto"/>
        <w:rPr>
          <w:rFonts w:ascii="Arial" w:hAnsi="Arial" w:cs="Arial"/>
          <w:color w:val="0000CC"/>
          <w:sz w:val="20"/>
          <w:szCs w:val="20"/>
          <w:u w:val="single"/>
          <w:lang w:val="en-GB"/>
        </w:rPr>
      </w:pPr>
      <w:r w:rsidRPr="004601C5">
        <w:rPr>
          <w:rFonts w:ascii="Arial" w:hAnsi="Arial" w:cs="Arial"/>
          <w:i/>
          <w:iCs/>
          <w:color w:val="444444"/>
          <w:sz w:val="20"/>
          <w:szCs w:val="20"/>
          <w:lang w:val="en-GB" w:eastAsia="en-GB"/>
        </w:rPr>
        <w:t>To learn more about the Universal Periodic Review, visit: </w:t>
      </w:r>
      <w:hyperlink r:id="rId17" w:history="1">
        <w:r w:rsidRPr="004601C5">
          <w:rPr>
            <w:rStyle w:val="Hyperlink"/>
            <w:rFonts w:ascii="Arial" w:hAnsi="Arial" w:cs="Arial"/>
            <w:color w:val="0000CC"/>
            <w:sz w:val="20"/>
            <w:szCs w:val="20"/>
            <w:lang w:val="en-GB"/>
          </w:rPr>
          <w:t>https://www.ohchr.org/en/hr-bodies/upr/upr-main</w:t>
        </w:r>
      </w:hyperlink>
    </w:p>
    <w:p w14:paraId="402FB54E" w14:textId="77777777" w:rsidR="004601C5" w:rsidRPr="004601C5" w:rsidRDefault="004601C5" w:rsidP="004601C5">
      <w:pPr>
        <w:spacing w:after="0" w:line="240" w:lineRule="auto"/>
        <w:rPr>
          <w:rFonts w:ascii="Arial" w:hAnsi="Arial" w:cs="Arial"/>
          <w:color w:val="444444"/>
          <w:sz w:val="20"/>
          <w:szCs w:val="20"/>
          <w:lang w:val="en-GB" w:eastAsia="en-GB"/>
        </w:rPr>
      </w:pPr>
    </w:p>
    <w:p w14:paraId="014B3E4B" w14:textId="77777777" w:rsidR="004601C5" w:rsidRPr="004601C5" w:rsidRDefault="004601C5" w:rsidP="004601C5">
      <w:pPr>
        <w:spacing w:after="0" w:line="240" w:lineRule="auto"/>
        <w:rPr>
          <w:rFonts w:ascii="Arial" w:hAnsi="Arial" w:cs="Arial"/>
          <w:color w:val="444444"/>
          <w:sz w:val="20"/>
          <w:szCs w:val="20"/>
          <w:lang w:val="en-GB" w:eastAsia="en-GB"/>
        </w:rPr>
      </w:pPr>
      <w:r w:rsidRPr="004601C5">
        <w:rPr>
          <w:rFonts w:ascii="Arial" w:hAnsi="Arial" w:cs="Arial"/>
          <w:b/>
          <w:bCs/>
          <w:color w:val="444444"/>
          <w:sz w:val="20"/>
          <w:szCs w:val="20"/>
          <w:lang w:val="en-GB" w:eastAsia="en-GB"/>
        </w:rPr>
        <w:t>UN Human Rights Council, follow us on social media:  </w:t>
      </w:r>
      <w:hyperlink r:id="rId18" w:history="1">
        <w:r w:rsidRPr="004601C5">
          <w:rPr>
            <w:rStyle w:val="Hyperlink"/>
            <w:rFonts w:ascii="Arial" w:hAnsi="Arial" w:cs="Arial"/>
            <w:sz w:val="20"/>
            <w:szCs w:val="20"/>
            <w:lang w:val="en-GB" w:eastAsia="en-GB"/>
          </w:rPr>
          <w:t>Facebook</w:t>
        </w:r>
      </w:hyperlink>
      <w:r w:rsidRPr="004601C5">
        <w:rPr>
          <w:rFonts w:ascii="Arial" w:hAnsi="Arial" w:cs="Arial"/>
          <w:color w:val="444444"/>
          <w:sz w:val="20"/>
          <w:szCs w:val="20"/>
          <w:lang w:val="en-GB" w:eastAsia="en-GB"/>
        </w:rPr>
        <w:t>  </w:t>
      </w:r>
      <w:hyperlink r:id="rId19" w:history="1">
        <w:r w:rsidRPr="004601C5">
          <w:rPr>
            <w:rStyle w:val="Hyperlink"/>
            <w:rFonts w:ascii="Arial" w:hAnsi="Arial" w:cs="Arial"/>
            <w:sz w:val="20"/>
            <w:szCs w:val="20"/>
            <w:lang w:val="en-GB" w:eastAsia="en-GB"/>
          </w:rPr>
          <w:t>Twitter</w:t>
        </w:r>
      </w:hyperlink>
      <w:r w:rsidRPr="004601C5">
        <w:rPr>
          <w:rFonts w:ascii="Arial" w:hAnsi="Arial" w:cs="Arial"/>
          <w:color w:val="444444"/>
          <w:sz w:val="20"/>
          <w:szCs w:val="20"/>
          <w:lang w:val="en-GB" w:eastAsia="en-GB"/>
        </w:rPr>
        <w:t>  </w:t>
      </w:r>
      <w:hyperlink r:id="rId20" w:history="1">
        <w:r w:rsidRPr="004601C5">
          <w:rPr>
            <w:rStyle w:val="Hyperlink"/>
            <w:rFonts w:ascii="Arial" w:hAnsi="Arial" w:cs="Arial"/>
            <w:sz w:val="20"/>
            <w:szCs w:val="20"/>
            <w:lang w:val="en-GB" w:eastAsia="en-GB"/>
          </w:rPr>
          <w:t>YouTube</w:t>
        </w:r>
      </w:hyperlink>
      <w:r w:rsidRPr="004601C5">
        <w:rPr>
          <w:rFonts w:ascii="Arial" w:hAnsi="Arial" w:cs="Arial"/>
          <w:color w:val="444444"/>
          <w:sz w:val="20"/>
          <w:szCs w:val="20"/>
          <w:lang w:val="en-GB" w:eastAsia="en-GB"/>
        </w:rPr>
        <w:t>  </w:t>
      </w:r>
      <w:hyperlink r:id="rId21" w:history="1">
        <w:r w:rsidRPr="004601C5">
          <w:rPr>
            <w:rStyle w:val="Hyperlink"/>
            <w:rFonts w:ascii="Arial" w:hAnsi="Arial" w:cs="Arial"/>
            <w:sz w:val="20"/>
            <w:szCs w:val="20"/>
            <w:lang w:val="en-GB" w:eastAsia="en-GB"/>
          </w:rPr>
          <w:t>Instagram</w:t>
        </w:r>
      </w:hyperlink>
      <w:r w:rsidRPr="004601C5">
        <w:rPr>
          <w:rFonts w:ascii="Arial" w:hAnsi="Arial" w:cs="Arial"/>
          <w:color w:val="444444"/>
          <w:sz w:val="20"/>
          <w:szCs w:val="20"/>
          <w:lang w:val="en-GB" w:eastAsia="en-GB"/>
        </w:rPr>
        <w:t>  </w:t>
      </w:r>
    </w:p>
    <w:p w14:paraId="13D081BD" w14:textId="77777777" w:rsidR="00F02C27" w:rsidRDefault="004601C5"/>
    <w:sectPr w:rsidR="00F02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C5"/>
    <w:rsid w:val="004601C5"/>
    <w:rsid w:val="005B7404"/>
    <w:rsid w:val="00734441"/>
    <w:rsid w:val="00C76E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FC94"/>
  <w15:chartTrackingRefBased/>
  <w15:docId w15:val="{D9FF709F-E688-40CA-9F2E-1D066ED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C5"/>
    <w:pPr>
      <w:spacing w:line="252"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1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EF72.1D9F02A0" TargetMode="External"/><Relationship Id="rId13" Type="http://schemas.openxmlformats.org/officeDocument/2006/relationships/hyperlink" Target="https://uprmeetings.ohchr.org/Sessions/41/Tunisia/Pages/default.aspx" TargetMode="External"/><Relationship Id="rId18" Type="http://schemas.openxmlformats.org/officeDocument/2006/relationships/hyperlink" Target="https://eur02.safelinks.protection.outlook.com/?url=https%3A%2F%2Fwww.facebook.com%2FUNHRC&amp;data=05%7C01%7Cbizani%40un.org%7C8deb6892e167413f991e08dabd83c378%7C0f9e35db544f4f60bdcc5ea416e6dc70%7C0%7C0%7C638030670857604565%7CUnknown%7CTWFpbGZsb3d8eyJWIjoiMC4wLjAwMDAiLCJQIjoiV2luMzIiLCJBTiI6Ik1haWwiLCJXVCI6Mn0%3D%7C3000%7C%7C%7C&amp;sdata=g%2BN%2Bhj7Iuu6iieYzGjP2rb0LEp5%2B5fYgxjJcMoQaol8%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instagram.com%2Fhumanrightscouncil%2F&amp;data=05%7C01%7Cbizani%40un.org%7C8deb6892e167413f991e08dabd83c378%7C0f9e35db544f4f60bdcc5ea416e6dc70%7C0%7C0%7C638030670857604565%7CUnknown%7CTWFpbGZsb3d8eyJWIjoiMC4wLjAwMDAiLCJQIjoiV2luMzIiLCJBTiI6Ik1haWwiLCJXVCI6Mn0%3D%7C3000%7C%7C%7C&amp;sdata=MRW5ixDZMkWfxBLyL2lPbdeRaKiuN0Kq%2FL4RW5PmUt8%3D&amp;reserved=0" TargetMode="External"/><Relationship Id="rId7" Type="http://schemas.openxmlformats.org/officeDocument/2006/relationships/image" Target="media/image1.png"/><Relationship Id="rId12" Type="http://schemas.openxmlformats.org/officeDocument/2006/relationships/hyperlink" Target="http://webtv.un.org/" TargetMode="External"/><Relationship Id="rId17" Type="http://schemas.openxmlformats.org/officeDocument/2006/relationships/hyperlink" Target="https://www.ohchr.org/en/hr-bodies/upr/upr-main" TargetMode="External"/><Relationship Id="rId2" Type="http://schemas.openxmlformats.org/officeDocument/2006/relationships/customXml" Target="../customXml/item2.xml"/><Relationship Id="rId16" Type="http://schemas.openxmlformats.org/officeDocument/2006/relationships/hyperlink" Target="mailto:simp@un.org" TargetMode="External"/><Relationship Id="rId20" Type="http://schemas.openxmlformats.org/officeDocument/2006/relationships/hyperlink" Target="https://eur02.safelinks.protection.outlook.com/?url=https%3A%2F%2Fwww.youtube.com%2Fc%2FUNHumanRightsCouncil&amp;data=05%7C01%7Cbizani%40un.org%7C8deb6892e167413f991e08dabd83c378%7C0f9e35db544f4f60bdcc5ea416e6dc70%7C0%7C0%7C638030670857604565%7CUnknown%7CTWFpbGZsb3d8eyJWIjoiMC4wLjAwMDAiLCJQIjoiV2luMzIiLCJBTiI6Ik1haWwiLCJXVCI6Mn0%3D%7C3000%7C%7C%7C&amp;sdata=NOStAYSqi%2BY5Kgzv3Eg3HIVSpIbA7ZNy6yp9sF4qSEU%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hr-bodies/upr/tn-index" TargetMode="External"/><Relationship Id="rId5" Type="http://schemas.openxmlformats.org/officeDocument/2006/relationships/settings" Target="settings.xml"/><Relationship Id="rId15" Type="http://schemas.openxmlformats.org/officeDocument/2006/relationships/hyperlink" Target="mailto:matthew.brown@un.org" TargetMode="External"/><Relationship Id="rId23" Type="http://schemas.openxmlformats.org/officeDocument/2006/relationships/theme" Target="theme/theme1.xml"/><Relationship Id="rId10" Type="http://schemas.openxmlformats.org/officeDocument/2006/relationships/hyperlink" Target="https://www.ohchr.org/en/hr-bodies/upr/tn-index" TargetMode="External"/><Relationship Id="rId19" Type="http://schemas.openxmlformats.org/officeDocument/2006/relationships/hyperlink" Target="https://eur02.safelinks.protection.outlook.com/?url=https%3A%2F%2Ftwitter.com%2FUN_HRC&amp;data=05%7C01%7Cbizani%40un.org%7C8deb6892e167413f991e08dabd83c378%7C0f9e35db544f4f60bdcc5ea416e6dc70%7C0%7C0%7C638030670857604565%7CUnknown%7CTWFpbGZsb3d8eyJWIjoiMC4wLjAwMDAiLCJQIjoiV2luMzIiLCJBTiI6Ik1haWwiLCJXVCI6Mn0%3D%7C3000%7C%7C%7C&amp;sdata=GvxKRQmNRo1KjXz%2Fm%2FJFDn8eYwcqhEfES2VFvU%2Fngfs%3D&amp;reserved=0" TargetMode="External"/><Relationship Id="rId4" Type="http://schemas.openxmlformats.org/officeDocument/2006/relationships/styles" Target="styles.xml"/><Relationship Id="rId9" Type="http://schemas.openxmlformats.org/officeDocument/2006/relationships/hyperlink" Target="http://webtv.un.org/" TargetMode="External"/><Relationship Id="rId14" Type="http://schemas.openxmlformats.org/officeDocument/2006/relationships/hyperlink" Target="mailto:rolando.gomez@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BA7B3-94C9-4A78-9626-85AC1FF51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E5D9A-CB7A-4DB8-90AA-03394FBAE0FA}">
  <ds:schemaRefs>
    <ds:schemaRef ds:uri="http://schemas.microsoft.com/sharepoint/v3/contenttype/forms"/>
  </ds:schemaRefs>
</ds:datastoreItem>
</file>

<file path=customXml/itemProps3.xml><?xml version="1.0" encoding="utf-8"?>
<ds:datastoreItem xmlns:ds="http://schemas.openxmlformats.org/officeDocument/2006/customXml" ds:itemID="{04720F10-94C1-4495-A603-C0FA52032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766</Words>
  <Characters>4219</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Kaouther Bizani</dc:creator>
  <cp:keywords/>
  <dc:description/>
  <cp:lastModifiedBy>Kaouther Bizani</cp:lastModifiedBy>
  <cp:revision>1</cp:revision>
  <dcterms:created xsi:type="dcterms:W3CDTF">2022-11-03T10:21:00Z</dcterms:created>
  <dcterms:modified xsi:type="dcterms:W3CDTF">2022-11-03T11:45:00Z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