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B05E9" w14:textId="187D815D" w:rsidR="00151086" w:rsidRPr="00E13560" w:rsidRDefault="7483CE6C" w:rsidP="00E13560">
      <w:pPr>
        <w:bidi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E1356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rtl/>
        </w:rPr>
        <w:t xml:space="preserve">الجمعية العامة للأمم المتحدة تعتمد اتفاقية تاريخية </w:t>
      </w:r>
      <w:r w:rsidR="512D27F9" w:rsidRPr="00E1356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rtl/>
        </w:rPr>
        <w:t>لمكافحة الجريمة السيبرانية</w:t>
      </w:r>
    </w:p>
    <w:p w14:paraId="506245EE" w14:textId="77777777" w:rsidR="00E13560" w:rsidRPr="00E13560" w:rsidRDefault="7483CE6C" w:rsidP="00E13560">
      <w:pPr>
        <w:bidi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</w:pPr>
      <w:r w:rsidRPr="00E13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نيويورك، </w:t>
      </w:r>
      <w:r w:rsidR="368A087E" w:rsidRPr="00E13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24</w:t>
      </w:r>
      <w:r w:rsidR="368A087E" w:rsidRPr="00E13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E13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ديسمبر </w:t>
      </w:r>
      <w:r w:rsidRPr="00E135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2024</w:t>
      </w:r>
    </w:p>
    <w:p w14:paraId="1D38985D" w14:textId="165BE920" w:rsidR="00E13560" w:rsidRPr="00E13560" w:rsidRDefault="00E13560" w:rsidP="00E13560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br/>
      </w:r>
      <w:r w:rsidR="7483CE6C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اعتمدت الجمعية العامة للأمم المتحدة اليوم اتفاقية</w:t>
      </w:r>
      <w:r w:rsidR="1502C2C6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ً</w:t>
      </w:r>
      <w:r w:rsidR="7483CE6C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جديدة</w:t>
      </w:r>
      <w:r w:rsidR="10A9A18D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ً</w:t>
      </w:r>
      <w:r w:rsidR="7483CE6C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6DC7C24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ملزمة</w:t>
      </w:r>
      <w:r w:rsidR="0BD67E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ً</w:t>
      </w:r>
      <w:r w:rsidR="6DC7C24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قانونًا </w:t>
      </w:r>
      <w:r w:rsidR="1A6FB4E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تهد</w:t>
      </w:r>
      <w:r w:rsidR="7A61B966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ُ</w:t>
      </w:r>
      <w:r w:rsidR="1A6FB4E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ف إلى </w:t>
      </w:r>
      <w:r w:rsidR="6DC7C24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منع ومكافحة</w:t>
      </w:r>
      <w:r w:rsidR="2BAFCC3B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الجريمة السيبرانية</w:t>
      </w:r>
      <w:r w:rsidR="6DC7C24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، لتتوج بذلك عملية تفاوض استمرت خمس سنوات.</w:t>
      </w:r>
    </w:p>
    <w:p w14:paraId="0B0A7A97" w14:textId="351523D5" w:rsidR="00E13560" w:rsidRPr="00E13560" w:rsidRDefault="00DC7434" w:rsidP="00E13560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وتهدف اتفاقية الأمم المتحدة لمكافحة الجريمة السيبرانية إلى زي</w:t>
      </w:r>
      <w:r w:rsidR="00DA59E0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دة فعالية جهود منع ومكافحة </w:t>
      </w:r>
      <w:proofErr w:type="spellStart"/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الجرا</w:t>
      </w:r>
      <w:proofErr w:type="spellEnd"/>
      <w:r w:rsidR="0075779A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EG"/>
        </w:rPr>
        <w:t>ئ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م السيبرانية، بما في ذلك من خلال تعزيز التعاون الدولي وتوفير الدعم ال</w:t>
      </w:r>
      <w:r w:rsidR="25D35956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فني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وبناء القدرات، خاصة إلى الدول النامية.</w:t>
      </w:r>
    </w:p>
    <w:p w14:paraId="24AFA5A9" w14:textId="5F0B1BC8" w:rsidR="00E13560" w:rsidRPr="00E13560" w:rsidRDefault="006A69C7" w:rsidP="00E13560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وقال </w:t>
      </w:r>
      <w:proofErr w:type="spellStart"/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فيليمون</w:t>
      </w:r>
      <w:proofErr w:type="spellEnd"/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يانغ، رئيس الجمعية العامة للأمم المتحدة</w:t>
      </w:r>
      <w:r w:rsidR="001A25BB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: "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نعيش جميعًا في عالم رقمي، </w:t>
      </w:r>
      <w:r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ولدى تكنولوجيا المعلومات والاتصالات قدرة كبيرة </w:t>
      </w:r>
      <w:r w:rsidR="001A25BB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على </w:t>
      </w:r>
      <w:r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دعم التنمية في المجتمعات، إلا أنها تحمل أيضاً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تهديدًا متزايدًا من الجرائم السيبرانية</w:t>
      </w:r>
      <w:r w:rsidR="001A25BB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.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من خلال </w:t>
      </w:r>
      <w:r w:rsidR="00DC7434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اعتماد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هذه </w:t>
      </w:r>
      <w:r w:rsidR="001A25BB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المعاهدة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، اتفقت الدول الأعضاء على الأدوات و</w:t>
      </w:r>
      <w:r w:rsidR="00DC7434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آليات اللازمة </w:t>
      </w:r>
      <w:r w:rsidR="00DC7434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لتعزيز التعاون الدولي و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منع ومكافحة الجرائم السيبرانية وحماية الأشخاص وحقوقهم </w:t>
      </w:r>
      <w:r w:rsidR="00455CB6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في المجال الرقمي</w:t>
      </w:r>
      <w:r w:rsidR="001A25BB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."</w:t>
      </w:r>
    </w:p>
    <w:p w14:paraId="5DF9189A" w14:textId="38755877" w:rsidR="00151086" w:rsidRPr="00E13560" w:rsidRDefault="7483CE6C" w:rsidP="4937915F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وعمل مكتب الأمم المتحدة المعني بالمخدرات والجريمة </w:t>
      </w:r>
      <w:r w:rsidR="00E13560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باعتباره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أمانة </w:t>
      </w:r>
      <w:r w:rsidR="00E13560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عامة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للمفاوضات.</w:t>
      </w:r>
    </w:p>
    <w:p w14:paraId="38365727" w14:textId="17BA3569" w:rsidR="00E13560" w:rsidRPr="00E13560" w:rsidRDefault="6C89C813" w:rsidP="00E13560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"إن اعتماد هذه الاتفاقية التاريخية ي</w:t>
      </w:r>
      <w:r w:rsidR="2378D267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ُ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مثل انتصارًا كبيرًا للتعددية، </w:t>
      </w:r>
      <w:r w:rsidR="785CBB1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إذ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3AB9C1E0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تُ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عد أول صك قانوني دولي للأمم المتحدة بشأن قضايا الجريمة منذ أكثر من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عامًا. إنها خطوة بالغة الأهمية</w:t>
      </w:r>
      <w:r w:rsidR="4E4682F0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نحو تعزيز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جهودنا لمكافحة الجرائم</w:t>
      </w:r>
      <w:r w:rsidR="37FDC955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، بما في ذلك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الاعتداء الجنسي على الأطفال عبر </w:t>
      </w:r>
      <w:r w:rsidR="00E13560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الإنترنت، والاحتيال</w:t>
      </w:r>
      <w:r w:rsidR="0E4076F8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الإلكتروني المعقد، وغسل الأموال،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"</w:t>
      </w:r>
      <w:r w:rsidR="35860857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صرّحت غادة والي، المدير التنفيذي ل</w:t>
      </w:r>
      <w:r w:rsidR="163A263E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مكتب الأمم المتحدة المعني بالمخدرات والجريمة.</w:t>
      </w:r>
    </w:p>
    <w:p w14:paraId="5186FE19" w14:textId="4835B979" w:rsidR="00E13560" w:rsidRPr="00E13560" w:rsidRDefault="739528EE" w:rsidP="00E13560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وأضافت والي: </w:t>
      </w:r>
      <w:r w:rsidR="55E34F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"في العصر الرقمي اليوم، أصبحت الجريمة الإلكترونية أكثر انتشارًا </w:t>
      </w:r>
      <w:r w:rsidR="70F77B5D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وضررًا</w:t>
      </w:r>
      <w:r w:rsidR="55E34F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، حيث تستغل الفئات الأكثر ضعفًا وتستنزف تريليونات الدولارات من اقتصاداتنا </w:t>
      </w:r>
      <w:r w:rsidR="3D939027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سنويًا</w:t>
      </w:r>
      <w:r w:rsidR="55E34F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. مكتب الأمم المتحدة المعني بالمخدرات والجريمة على أتم </w:t>
      </w:r>
      <w:r w:rsidR="785ED1A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ال</w:t>
      </w:r>
      <w:r w:rsidR="55E34F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استعداد لدعم الدول الأعضاء</w:t>
      </w:r>
      <w:r w:rsidR="011CD0A7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في التوقيع على الاتفاقية الجديدة، والتصديق عليها، وتنفيذها من خلال</w:t>
      </w:r>
      <w:r w:rsidR="55E34FB4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4B23502A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توفير الأدوات والمساعدة التقنية، وبناء القدرات التي تحتاجها الدول لحماية اقتصاداتها وضمان فضاء رقمي آمن</w:t>
      </w:r>
      <w:r w:rsidR="4931F137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ٍ</w:t>
      </w:r>
      <w:r w:rsidR="4B23502A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وخالٍ من الجرائم السيبرانية." </w:t>
      </w:r>
    </w:p>
    <w:p w14:paraId="584E4DBD" w14:textId="7C87D330" w:rsidR="00151086" w:rsidRPr="00E13560" w:rsidRDefault="479A2B0F" w:rsidP="4937915F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اعتمدت الجمعية العامة القرار دون تصويت. </w:t>
      </w:r>
      <w:r w:rsidR="2F2242B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وتفاوضت الدول الأعضاء في الأمم المتحدة، بمشاركة المجتمع المدني، والمؤسسات الأكاديمية، والقطاع الخاص، على نص الاتفاقية على مدار خمس سنوات، حيث اكتملت صياغة مسودتها النهائية في </w:t>
      </w:r>
      <w:r w:rsidR="2F2242B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2F2242B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أغسطس </w:t>
      </w:r>
      <w:r w:rsidR="2F2242B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 w:rsidR="2F2242B1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.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</w:p>
    <w:p w14:paraId="38E0CCF4" w14:textId="48256271" w:rsidR="00151086" w:rsidRPr="00E13560" w:rsidRDefault="74BBFCF7" w:rsidP="4937915F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سيتم فتح الاتفاقية للتوقيع في حفل رسمي تستضيفه فيتنام في عام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. وستدخل الاتفاقية حيز التنفيذ بعد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يومًا من تصديق الدولة الأربعين عليها.  </w:t>
      </w:r>
    </w:p>
    <w:p w14:paraId="44B6E557" w14:textId="5D727659" w:rsidR="00151086" w:rsidRPr="00E13560" w:rsidRDefault="20B2B51C" w:rsidP="4937915F">
      <w:pPr>
        <w:bidi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سيواصل مكتب الأمم المتحدة المعني بالمخدرات والجريمة العمل </w:t>
      </w:r>
      <w:r w:rsidR="00E13560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n-GB" w:bidi="ar-EG"/>
        </w:rPr>
        <w:t xml:space="preserve">باعتباره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أمانة </w:t>
      </w:r>
      <w:r w:rsidR="00E13560" w:rsidRPr="00E13560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عامة 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للجنة </w:t>
      </w:r>
      <w:r w:rsidR="452516A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المختصة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بالتفاوض على مشروع بروتوكول م</w:t>
      </w:r>
      <w:r w:rsidR="1E658B92"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ُ</w:t>
      </w:r>
      <w:r w:rsidRPr="00E13560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كمل للاتفاقية، وكذلك للمؤتمر المستقبلي للدول الأطراف.</w:t>
      </w:r>
    </w:p>
    <w:p w14:paraId="5D52891A" w14:textId="44A81879" w:rsidR="00151086" w:rsidRPr="00E13560" w:rsidRDefault="00151086" w:rsidP="00E13560">
      <w:pPr>
        <w:bidi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8D10D4" w14:textId="652191DA" w:rsidR="00151086" w:rsidRPr="00E13560" w:rsidRDefault="7483CE6C" w:rsidP="00E13560">
      <w:pPr>
        <w:bidi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13560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لقراءة نص الاتفاقية، ا</w:t>
      </w:r>
      <w:r w:rsidR="525A78A7" w:rsidRPr="00E13560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ضغط</w:t>
      </w:r>
      <w:r w:rsidR="180731FC" w:rsidRPr="00E13560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/ي</w:t>
      </w:r>
      <w:r w:rsidRPr="00E13560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hyperlink r:id="rId9">
        <w:proofErr w:type="spellStart"/>
        <w:r w:rsidRPr="00E13560">
          <w:rPr>
            <w:rStyle w:val="Lienhypertexte"/>
            <w:rFonts w:ascii="Times New Roman" w:eastAsia="Times New Roman" w:hAnsi="Times New Roman" w:cs="Times New Roman"/>
            <w:sz w:val="32"/>
            <w:szCs w:val="32"/>
          </w:rPr>
          <w:t>هنا</w:t>
        </w:r>
        <w:proofErr w:type="spellEnd"/>
      </w:hyperlink>
      <w:r w:rsidRPr="00E135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/>
        </w:rPr>
        <w:t>.</w:t>
      </w:r>
    </w:p>
    <w:p w14:paraId="2C078E63" w14:textId="25671E9C" w:rsidR="00151086" w:rsidRPr="00E13560" w:rsidRDefault="00151086" w:rsidP="4937915F">
      <w:pPr>
        <w:bidi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151086" w:rsidRPr="00E13560" w:rsidSect="00E13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5B59" w14:textId="77777777" w:rsidR="00C67A09" w:rsidRDefault="00C67A09" w:rsidP="006A69C7">
      <w:pPr>
        <w:spacing w:after="0" w:line="240" w:lineRule="auto"/>
      </w:pPr>
      <w:r>
        <w:separator/>
      </w:r>
    </w:p>
  </w:endnote>
  <w:endnote w:type="continuationSeparator" w:id="0">
    <w:p w14:paraId="5EB70769" w14:textId="77777777" w:rsidR="00C67A09" w:rsidRDefault="00C67A09" w:rsidP="006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9F35" w14:textId="77777777" w:rsidR="00C67A09" w:rsidRDefault="00C67A09" w:rsidP="006A69C7">
      <w:pPr>
        <w:spacing w:after="0" w:line="240" w:lineRule="auto"/>
      </w:pPr>
      <w:r>
        <w:separator/>
      </w:r>
    </w:p>
  </w:footnote>
  <w:footnote w:type="continuationSeparator" w:id="0">
    <w:p w14:paraId="6481F956" w14:textId="77777777" w:rsidR="00C67A09" w:rsidRDefault="00C67A09" w:rsidP="006A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B726CE"/>
    <w:rsid w:val="00151086"/>
    <w:rsid w:val="001A25BB"/>
    <w:rsid w:val="00207967"/>
    <w:rsid w:val="00313D44"/>
    <w:rsid w:val="00455CB6"/>
    <w:rsid w:val="006A69C7"/>
    <w:rsid w:val="0072204C"/>
    <w:rsid w:val="0074203F"/>
    <w:rsid w:val="0075779A"/>
    <w:rsid w:val="00933668"/>
    <w:rsid w:val="00AE733E"/>
    <w:rsid w:val="00B14981"/>
    <w:rsid w:val="00C67A09"/>
    <w:rsid w:val="00C7752A"/>
    <w:rsid w:val="00CB3293"/>
    <w:rsid w:val="00DA59E0"/>
    <w:rsid w:val="00DC7434"/>
    <w:rsid w:val="00E13560"/>
    <w:rsid w:val="00FC37E4"/>
    <w:rsid w:val="011CD0A7"/>
    <w:rsid w:val="0339786C"/>
    <w:rsid w:val="06DAF9DC"/>
    <w:rsid w:val="07073F10"/>
    <w:rsid w:val="08527BAC"/>
    <w:rsid w:val="0B68EAEB"/>
    <w:rsid w:val="0BD67EB4"/>
    <w:rsid w:val="0E4076F8"/>
    <w:rsid w:val="107EA390"/>
    <w:rsid w:val="10A9A18D"/>
    <w:rsid w:val="130897AC"/>
    <w:rsid w:val="1502C2C6"/>
    <w:rsid w:val="163A263E"/>
    <w:rsid w:val="180731FC"/>
    <w:rsid w:val="189C752A"/>
    <w:rsid w:val="1A30CCE3"/>
    <w:rsid w:val="1A6FB4E2"/>
    <w:rsid w:val="1E658B92"/>
    <w:rsid w:val="1EA0D7EA"/>
    <w:rsid w:val="1EB5F994"/>
    <w:rsid w:val="1F176147"/>
    <w:rsid w:val="20B2B51C"/>
    <w:rsid w:val="2378D267"/>
    <w:rsid w:val="23FC7FF6"/>
    <w:rsid w:val="25D1BEAC"/>
    <w:rsid w:val="25D35956"/>
    <w:rsid w:val="26ABCBC5"/>
    <w:rsid w:val="29277BF1"/>
    <w:rsid w:val="29947158"/>
    <w:rsid w:val="2BAFCC3B"/>
    <w:rsid w:val="2CC18DBC"/>
    <w:rsid w:val="2D86428A"/>
    <w:rsid w:val="2E5B6782"/>
    <w:rsid w:val="2E71E449"/>
    <w:rsid w:val="2EBBC802"/>
    <w:rsid w:val="2F2242B1"/>
    <w:rsid w:val="2FFC4B25"/>
    <w:rsid w:val="348F052B"/>
    <w:rsid w:val="34BCA406"/>
    <w:rsid w:val="34D01E3C"/>
    <w:rsid w:val="35860857"/>
    <w:rsid w:val="3669CCB6"/>
    <w:rsid w:val="368A087E"/>
    <w:rsid w:val="373231B3"/>
    <w:rsid w:val="37FDC955"/>
    <w:rsid w:val="37FF4912"/>
    <w:rsid w:val="3850866B"/>
    <w:rsid w:val="3AB9C1E0"/>
    <w:rsid w:val="3B5863E7"/>
    <w:rsid w:val="3BCEC455"/>
    <w:rsid w:val="3D939027"/>
    <w:rsid w:val="3F1B9984"/>
    <w:rsid w:val="3F850B7C"/>
    <w:rsid w:val="3FCAB7F2"/>
    <w:rsid w:val="403C3A3C"/>
    <w:rsid w:val="452516A2"/>
    <w:rsid w:val="454E3870"/>
    <w:rsid w:val="458A8F61"/>
    <w:rsid w:val="472BD4BE"/>
    <w:rsid w:val="479A2B0F"/>
    <w:rsid w:val="48C3E97E"/>
    <w:rsid w:val="4931F137"/>
    <w:rsid w:val="4937915F"/>
    <w:rsid w:val="493ACEBA"/>
    <w:rsid w:val="4B23502A"/>
    <w:rsid w:val="4E33FCE8"/>
    <w:rsid w:val="4E4682F0"/>
    <w:rsid w:val="512D27F9"/>
    <w:rsid w:val="525A78A7"/>
    <w:rsid w:val="546371AA"/>
    <w:rsid w:val="54733424"/>
    <w:rsid w:val="55E34FB4"/>
    <w:rsid w:val="56D510C8"/>
    <w:rsid w:val="5856BC0E"/>
    <w:rsid w:val="5DB726CE"/>
    <w:rsid w:val="5E111BB2"/>
    <w:rsid w:val="5E6586B0"/>
    <w:rsid w:val="5EB81455"/>
    <w:rsid w:val="5F94FEAB"/>
    <w:rsid w:val="5FEA9E82"/>
    <w:rsid w:val="616FBDB3"/>
    <w:rsid w:val="62507D02"/>
    <w:rsid w:val="646070E5"/>
    <w:rsid w:val="646BEBE2"/>
    <w:rsid w:val="64C9C34C"/>
    <w:rsid w:val="66A7B1E0"/>
    <w:rsid w:val="67C21A59"/>
    <w:rsid w:val="67F832B8"/>
    <w:rsid w:val="6A37C0CA"/>
    <w:rsid w:val="6C89C813"/>
    <w:rsid w:val="6DC7C241"/>
    <w:rsid w:val="6E0123D8"/>
    <w:rsid w:val="6ECFC24D"/>
    <w:rsid w:val="707414AA"/>
    <w:rsid w:val="70E2916B"/>
    <w:rsid w:val="70F77B5D"/>
    <w:rsid w:val="739528EE"/>
    <w:rsid w:val="7483CE6C"/>
    <w:rsid w:val="74BBFCF7"/>
    <w:rsid w:val="752A3AAD"/>
    <w:rsid w:val="75302C0F"/>
    <w:rsid w:val="75F8DACC"/>
    <w:rsid w:val="77B2E262"/>
    <w:rsid w:val="785CBB12"/>
    <w:rsid w:val="785ED1A2"/>
    <w:rsid w:val="7A61B966"/>
    <w:rsid w:val="7A9BA3F5"/>
    <w:rsid w:val="7C5AB089"/>
    <w:rsid w:val="7D09663E"/>
    <w:rsid w:val="7DBB2262"/>
    <w:rsid w:val="7FD14E3E"/>
    <w:rsid w:val="7FDC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726CE"/>
  <w15:chartTrackingRefBased/>
  <w15:docId w15:val="{B462A21E-A175-49F1-B20C-70DC9225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4937915F"/>
    <w:rPr>
      <w:color w:val="467886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9C7"/>
  </w:style>
  <w:style w:type="paragraph" w:styleId="Pieddepage">
    <w:name w:val="footer"/>
    <w:basedOn w:val="Normal"/>
    <w:link w:val="PieddepageCar"/>
    <w:uiPriority w:val="99"/>
    <w:unhideWhenUsed/>
    <w:rsid w:val="006A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9C7"/>
  </w:style>
  <w:style w:type="character" w:customStyle="1" w:styleId="cf01">
    <w:name w:val="cf01"/>
    <w:basedOn w:val="Policepardfaut"/>
    <w:rsid w:val="006A69C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6A69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ndocs.org/A/79/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dit xmlns="4e1e2092-fccc-43ca-bf5d-2c7bd2d2e3c5">© UNODC</Credit>
    <Canvalink xmlns="4e1e2092-fccc-43ca-bf5d-2c7bd2d2e3c5">
      <Url xsi:nil="true"/>
      <Description xsi:nil="true"/>
    </Canvalink>
    <SharedWithUsers xmlns="8c638fdb-7648-49a5-9c47-677efd10af79">
      <UserInfo>
        <DisplayName/>
        <AccountId xsi:nil="true"/>
        <AccountType/>
      </UserInfo>
    </SharedWithUsers>
    <lcf76f155ced4ddcb4097134ff3c332f xmlns="4e1e2092-fccc-43ca-bf5d-2c7bd2d2e3c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56A6411AE2B4B894B1B328BD6520B" ma:contentTypeVersion="20" ma:contentTypeDescription="Create a new document." ma:contentTypeScope="" ma:versionID="0c80b2e55f6d8277b6befa7d03456e8c">
  <xsd:schema xmlns:xsd="http://www.w3.org/2001/XMLSchema" xmlns:xs="http://www.w3.org/2001/XMLSchema" xmlns:p="http://schemas.microsoft.com/office/2006/metadata/properties" xmlns:ns2="4e1e2092-fccc-43ca-bf5d-2c7bd2d2e3c5" xmlns:ns3="8c638fdb-7648-49a5-9c47-677efd10af79" xmlns:ns4="985ec44e-1bab-4c0b-9df0-6ba128686fc9" targetNamespace="http://schemas.microsoft.com/office/2006/metadata/properties" ma:root="true" ma:fieldsID="6a257d63fac5cdc2d4a6a623afce791b" ns2:_="" ns3:_="" ns4:_="">
    <xsd:import namespace="4e1e2092-fccc-43ca-bf5d-2c7bd2d2e3c5"/>
    <xsd:import namespace="8c638fdb-7648-49a5-9c47-677efd10af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anvalink" minOccurs="0"/>
                <xsd:element ref="ns2:Cred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2092-fccc-43ca-bf5d-2c7bd2d2e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nvalink" ma:index="24" nillable="true" ma:displayName="Canva link" ma:format="Hyperlink" ma:internalName="Canva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dit" ma:index="25" nillable="true" ma:displayName="Credit" ma:default="© UNODC" ma:format="Dropdown" ma:internalName="Credit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38fdb-7648-49a5-9c47-677efd10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550aa61-3fe0-407a-afe7-b98fcf244947}" ma:internalName="TaxCatchAll" ma:showField="CatchAllData" ma:web="8c638fdb-7648-49a5-9c47-677efd10a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4AB1F-1F8B-433F-99D0-469A53C44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74C73-0F18-48E3-8735-F010ABFFCC7B}">
  <ds:schemaRefs>
    <ds:schemaRef ds:uri="http://schemas.microsoft.com/office/2006/metadata/properties"/>
    <ds:schemaRef ds:uri="http://schemas.microsoft.com/office/infopath/2007/PartnerControls"/>
    <ds:schemaRef ds:uri="4e1e2092-fccc-43ca-bf5d-2c7bd2d2e3c5"/>
    <ds:schemaRef ds:uri="8c638fdb-7648-49a5-9c47-677efd10af79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4B6BBA8E-AB6F-4CD4-9BED-F061D3656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2092-fccc-43ca-bf5d-2c7bd2d2e3c5"/>
    <ds:schemaRef ds:uri="8c638fdb-7648-49a5-9c47-677efd10af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2038</Characters>
  <Application>Microsoft Office Word</Application>
  <DocSecurity>4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Nouran Abdelghaffar</dc:creator>
  <cp:keywords/>
  <dc:description/>
  <cp:lastModifiedBy>Kaouther Bizani</cp:lastModifiedBy>
  <cp:revision>2</cp:revision>
  <dcterms:created xsi:type="dcterms:W3CDTF">2024-12-26T11:11:00Z</dcterms:created>
  <dcterms:modified xsi:type="dcterms:W3CDTF">2024-12-26T11:11:00Z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0x01010098256A6411AE2B4B894B1B328BD6520B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{"FileActivityType":"9","FileActivityTimeStamp":"2024-12-24T13:45:19.740Z","FileActivityUsersOnPage":[{"DisplayName":"Anne Thomas","Id":"anne.thomas@un.org"},{"DisplayName":"Nikoleta Haffar","Id":"nikoleta.haffar@un.org"},{"DisplayName":"Sebastian Maurice Denton","Id":"sebastian.denton1@un.org"},{"DisplayName":"Anne Thomas","Id":"anne.thomas@un.org"},{"DisplayName":"Sonya Yee","Id":"sonya.yee@un.org"},{"DisplayName":"Alexander Sauer","Id":"alexander.sauer@un.org"},{"DisplayName":"Angela Joann Patnode","Id":"angela.patnode@un.org"},{"DisplayName":"Ahmed Tareq Ibrahim Maaty","Id":"ahmed.maaty@un.org"}],"FileActivityNavigationId":null}</vt:lpwstr>
  </property>
  <property fmtid="{D5CDD505-2E9C-101B-9397-08002B2CF9AE}" pid="9" name="TriggerFlowInfo">
    <vt:lpwstr/>
  </property>
</Properties>
</file>